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7D7F95FB" w14:textId="27C47ADC" w:rsidR="00CA152F" w:rsidRPr="00E57F38" w:rsidRDefault="008E5FC5" w:rsidP="00DB2986">
      <w:pPr>
        <w:jc w:val="center"/>
        <w:rPr>
          <w:rFonts w:ascii="ＭＳ ゴシック" w:eastAsia="ＭＳ ゴシック" w:hAnsi="ＭＳ ゴシック"/>
          <w:sz w:val="32"/>
          <w:szCs w:val="32"/>
        </w:rPr>
      </w:pPr>
      <w:r w:rsidRPr="008E5FC5">
        <w:rPr>
          <w:rFonts w:ascii="ＭＳ ゴシック" w:eastAsia="ＭＳ ゴシック" w:hAnsi="ＭＳ ゴシック"/>
          <w:noProof/>
        </w:rPr>
        <mc:AlternateContent>
          <mc:Choice Requires="wps">
            <w:drawing>
              <wp:anchor distT="0" distB="0" distL="114300" distR="114300" simplePos="0" relativeHeight="251664384" behindDoc="0" locked="0" layoutInCell="1" allowOverlap="1" wp14:anchorId="7A24EDEB" wp14:editId="75C83BD1">
                <wp:simplePos x="0" y="0"/>
                <wp:positionH relativeFrom="column">
                  <wp:posOffset>5157471</wp:posOffset>
                </wp:positionH>
                <wp:positionV relativeFrom="paragraph">
                  <wp:posOffset>-264160</wp:posOffset>
                </wp:positionV>
                <wp:extent cx="1047750" cy="295275"/>
                <wp:effectExtent l="0" t="0" r="19050" b="28575"/>
                <wp:wrapNone/>
                <wp:docPr id="7" name="テキスト ボックス 6"/>
                <wp:cNvGraphicFramePr/>
                <a:graphic xmlns:a="http://schemas.openxmlformats.org/drawingml/2006/main">
                  <a:graphicData uri="http://schemas.microsoft.com/office/word/2010/wordprocessingShape">
                    <wps:wsp>
                      <wps:cNvSpPr txBox="1"/>
                      <wps:spPr>
                        <a:xfrm>
                          <a:off x="0" y="0"/>
                          <a:ext cx="1047750" cy="295275"/>
                        </a:xfrm>
                        <a:prstGeom prst="rect">
                          <a:avLst/>
                        </a:prstGeom>
                        <a:solidFill>
                          <a:schemeClr val="bg1"/>
                        </a:solidFill>
                        <a:ln w="12700">
                          <a:solidFill>
                            <a:schemeClr val="tx1"/>
                          </a:solidFill>
                        </a:ln>
                      </wps:spPr>
                      <wps:txbx>
                        <w:txbxContent>
                          <w:p w14:paraId="5B99E737" w14:textId="77777777" w:rsidR="008E5FC5" w:rsidRPr="0055770A" w:rsidRDefault="008E5FC5" w:rsidP="0055770A">
                            <w:pPr>
                              <w:pStyle w:val="Web"/>
                              <w:spacing w:before="0" w:beforeAutospacing="0" w:after="0" w:afterAutospacing="0" w:line="240" w:lineRule="exact"/>
                              <w:jc w:val="center"/>
                              <w:rPr>
                                <w:rFonts w:ascii="ＭＳ ゴシック" w:eastAsia="ＭＳ ゴシック" w:hAnsi="ＭＳ ゴシック"/>
                              </w:rPr>
                            </w:pPr>
                            <w:r w:rsidRPr="0055770A">
                              <w:rPr>
                                <w:rFonts w:ascii="ＭＳ ゴシック" w:eastAsia="ＭＳ ゴシック" w:hAnsi="ＭＳ ゴシック" w:cstheme="minorBidi" w:hint="eastAsia"/>
                                <w:color w:val="000000" w:themeColor="text1"/>
                                <w:kern w:val="24"/>
                              </w:rPr>
                              <w:t>資料３</w:t>
                            </w:r>
                            <w:r w:rsidR="0023260E">
                              <w:rPr>
                                <w:rFonts w:ascii="ＭＳ ゴシック" w:eastAsia="ＭＳ ゴシック" w:hAnsi="ＭＳ ゴシック" w:cstheme="minorBidi" w:hint="eastAsia"/>
                                <w:color w:val="000000" w:themeColor="text1"/>
                                <w:kern w:val="24"/>
                              </w:rPr>
                              <w:t>－１</w:t>
                            </w:r>
                          </w:p>
                        </w:txbxContent>
                      </wps:txbx>
                      <wps:bodyPr wrap="square" lIns="0" tIns="0" rIns="0" bIns="0" rtlCol="0" anchor="ctr">
                        <a:noAutofit/>
                      </wps:bodyPr>
                    </wps:wsp>
                  </a:graphicData>
                </a:graphic>
                <wp14:sizeRelH relativeFrom="margin">
                  <wp14:pctWidth>0</wp14:pctWidth>
                </wp14:sizeRelH>
                <wp14:sizeRelV relativeFrom="margin">
                  <wp14:pctHeight>0</wp14:pctHeight>
                </wp14:sizeRelV>
              </wp:anchor>
            </w:drawing>
          </mc:Choice>
          <mc:Fallback>
            <w:pict>
              <v:shapetype w14:anchorId="7A24EDEB" id="_x0000_t202" coordsize="21600,21600" o:spt="202" path="m,l,21600r21600,l21600,xe">
                <v:stroke joinstyle="miter"/>
                <v:path gradientshapeok="t" o:connecttype="rect"/>
              </v:shapetype>
              <v:shape id="テキスト ボックス 6" o:spid="_x0000_s1026" type="#_x0000_t202" style="position:absolute;left:0;text-align:left;margin-left:406.1pt;margin-top:-20.8pt;width:82.5pt;height:23.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" fillcolor="white [3212]" strokecolor="black [3213]" strokeweight="1pt">
                <v:textbox inset="0,0,0,0">
                  <w:txbxContent>
                    <w:p w14:paraId="5B99E737" w14:textId="77777777" w:rsidR="008E5FC5" w:rsidRPr="0055770A" w:rsidRDefault="008E5FC5" w:rsidP="0055770A">
                      <w:pPr>
                        <w:pStyle w:val="Web"/>
                        <w:spacing w:before="0" w:beforeAutospacing="0" w:after="0" w:afterAutospacing="0" w:line="240" w:lineRule="exact"/>
                        <w:jc w:val="center"/>
                        <w:rPr>
                          <w:rFonts w:ascii="ＭＳ ゴシック" w:eastAsia="ＭＳ ゴシック" w:hAnsi="ＭＳ ゴシック"/>
                        </w:rPr>
                      </w:pPr>
                      <w:r w:rsidRPr="0055770A">
                        <w:rPr>
                          <w:rFonts w:ascii="ＭＳ ゴシック" w:eastAsia="ＭＳ ゴシック" w:hAnsi="ＭＳ ゴシック" w:cstheme="minorBidi" w:hint="eastAsia"/>
                          <w:color w:val="000000" w:themeColor="text1"/>
                          <w:kern w:val="24"/>
                        </w:rPr>
                        <w:t>資料３</w:t>
                      </w:r>
                      <w:r w:rsidR="0023260E">
                        <w:rPr>
                          <w:rFonts w:ascii="ＭＳ ゴシック" w:eastAsia="ＭＳ ゴシック" w:hAnsi="ＭＳ ゴシック" w:cstheme="minorBidi" w:hint="eastAsia"/>
                          <w:color w:val="000000" w:themeColor="text1"/>
                          <w:kern w:val="24"/>
                        </w:rPr>
                        <w:t>－１</w:t>
                      </w:r>
                    </w:p>
                  </w:txbxContent>
                </v:textbox>
              </v:shape>
            </w:pict>
          </mc:Fallback>
        </mc:AlternateContent>
      </w:r>
      <w:r w:rsidR="00DB2986" w:rsidRPr="00E57F38">
        <w:rPr>
          <w:rFonts w:ascii="ＭＳ ゴシック" w:eastAsia="ＭＳ ゴシック" w:hAnsi="ＭＳ ゴシック" w:hint="eastAsia"/>
          <w:b/>
          <w:bCs/>
          <w:sz w:val="32"/>
          <w:szCs w:val="32"/>
        </w:rPr>
        <w:t>府域</w:t>
      </w:r>
      <w:r w:rsidR="00013862" w:rsidRPr="00E57F38">
        <w:rPr>
          <w:rFonts w:ascii="ＭＳ ゴシック" w:eastAsia="ＭＳ ゴシック" w:hAnsi="ＭＳ ゴシック" w:hint="eastAsia"/>
          <w:b/>
          <w:bCs/>
          <w:sz w:val="32"/>
          <w:szCs w:val="32"/>
        </w:rPr>
        <w:t>における</w:t>
      </w:r>
      <w:r w:rsidR="00DB2986" w:rsidRPr="00E57F38">
        <w:rPr>
          <w:rFonts w:ascii="ＭＳ ゴシック" w:eastAsia="ＭＳ ゴシック" w:hAnsi="ＭＳ ゴシック" w:hint="eastAsia"/>
          <w:b/>
          <w:bCs/>
          <w:sz w:val="32"/>
          <w:szCs w:val="32"/>
        </w:rPr>
        <w:t>温室効果ガス排出量の算定について</w:t>
      </w:r>
      <w:r w:rsidR="008861B6">
        <w:rPr>
          <w:rFonts w:ascii="ＭＳ ゴシック" w:eastAsia="ＭＳ ゴシック" w:hAnsi="ＭＳ ゴシック" w:hint="eastAsia"/>
          <w:b/>
          <w:bCs/>
          <w:sz w:val="32"/>
          <w:szCs w:val="32"/>
        </w:rPr>
        <w:t>（案）</w:t>
      </w:r>
    </w:p>
    <w:p w14:paraId="22A9BF4A" w14:textId="77777777" w:rsidR="004C6471" w:rsidRPr="00C2459F" w:rsidRDefault="004C6471" w:rsidP="004C6471">
      <w:pPr>
        <w:rPr>
          <w:rFonts w:ascii="Meiryo UI" w:eastAsia="Meiryo UI" w:hAnsi="Meiryo UI"/>
          <w:b/>
        </w:rPr>
      </w:pPr>
      <w:r w:rsidRPr="00C2459F">
        <w:rPr>
          <w:rFonts w:ascii="Meiryo UI" w:eastAsia="Meiryo UI" w:hAnsi="Meiryo UI" w:hint="eastAsia"/>
          <w:b/>
        </w:rPr>
        <w:t>＜背景＞</w:t>
      </w:r>
    </w:p>
    <w:p w14:paraId="04D6F62B" w14:textId="108D984F" w:rsidR="00E92566" w:rsidRPr="00C0430A" w:rsidRDefault="008B1107" w:rsidP="00BE1D67">
      <w:pPr>
        <w:ind w:left="210" w:hangingChars="100" w:hanging="210"/>
        <w:rPr>
          <w:rFonts w:ascii="Meiryo UI" w:eastAsia="Meiryo UI" w:hAnsi="Meiryo UI"/>
        </w:rPr>
      </w:pPr>
      <w:r w:rsidRPr="00C0430A">
        <w:rPr>
          <w:rFonts w:ascii="Meiryo UI" w:eastAsia="Meiryo UI" w:hAnsi="Meiryo UI" w:hint="eastAsia"/>
        </w:rPr>
        <w:sym w:font="Wingdings" w:char="F0D8"/>
      </w:r>
      <w:r w:rsidR="00013862" w:rsidRPr="00C0430A">
        <w:rPr>
          <w:rFonts w:ascii="Meiryo UI" w:eastAsia="Meiryo UI" w:hAnsi="Meiryo UI" w:hint="eastAsia"/>
        </w:rPr>
        <w:t xml:space="preserve">　</w:t>
      </w:r>
      <w:r w:rsidR="004C6471" w:rsidRPr="00C0430A">
        <w:rPr>
          <w:rFonts w:ascii="Meiryo UI" w:eastAsia="Meiryo UI" w:hAnsi="Meiryo UI" w:hint="eastAsia"/>
        </w:rPr>
        <w:t>府では、「地球温暖化対策の推進に関する法律」に基づき、毎年、府域の温室効果ガス排出量を算定し、地球温暖化対策実行計画の進行管理を実施。温室効果ガス排出量は、</w:t>
      </w:r>
      <w:r w:rsidR="004C6471" w:rsidRPr="00C0430A">
        <w:rPr>
          <w:rFonts w:ascii="Meiryo UI" w:eastAsia="Meiryo UI" w:hAnsi="Meiryo UI"/>
        </w:rPr>
        <w:t>小売電気事業者</w:t>
      </w:r>
      <w:r w:rsidR="009056E1" w:rsidRPr="00C0430A">
        <w:rPr>
          <w:rFonts w:ascii="Meiryo UI" w:eastAsia="Meiryo UI" w:hAnsi="Meiryo UI" w:hint="eastAsia"/>
        </w:rPr>
        <w:t>や</w:t>
      </w:r>
      <w:r w:rsidR="00013862" w:rsidRPr="00C0430A">
        <w:rPr>
          <w:rFonts w:ascii="Meiryo UI" w:eastAsia="Meiryo UI" w:hAnsi="Meiryo UI" w:hint="eastAsia"/>
        </w:rPr>
        <w:t>小売</w:t>
      </w:r>
      <w:r w:rsidR="004C6471" w:rsidRPr="00C0430A">
        <w:rPr>
          <w:rFonts w:ascii="Meiryo UI" w:eastAsia="Meiryo UI" w:hAnsi="Meiryo UI" w:hint="eastAsia"/>
        </w:rPr>
        <w:t>ガス事業者</w:t>
      </w:r>
      <w:r w:rsidR="00D17E0A" w:rsidRPr="00C0430A">
        <w:rPr>
          <w:rFonts w:ascii="Meiryo UI" w:eastAsia="Meiryo UI" w:hAnsi="Meiryo UI" w:hint="eastAsia"/>
        </w:rPr>
        <w:t>から任意に提供を受けた部門別（産業・業務・家庭）</w:t>
      </w:r>
      <w:r w:rsidR="00BA3506" w:rsidRPr="00C0430A">
        <w:rPr>
          <w:rFonts w:ascii="Meiryo UI" w:eastAsia="Meiryo UI" w:hAnsi="Meiryo UI" w:hint="eastAsia"/>
        </w:rPr>
        <w:t>売電量</w:t>
      </w:r>
      <w:r w:rsidR="00D17E0A" w:rsidRPr="00C0430A">
        <w:rPr>
          <w:rFonts w:ascii="Meiryo UI" w:eastAsia="Meiryo UI" w:hAnsi="Meiryo UI" w:hint="eastAsia"/>
        </w:rPr>
        <w:t>や</w:t>
      </w:r>
      <w:r w:rsidR="00BA3506" w:rsidRPr="00C0430A">
        <w:rPr>
          <w:rFonts w:ascii="Meiryo UI" w:eastAsia="Meiryo UI" w:hAnsi="Meiryo UI" w:hint="eastAsia"/>
        </w:rPr>
        <w:t>都市ガス販売量</w:t>
      </w:r>
      <w:r w:rsidR="00D17E0A" w:rsidRPr="00C0430A">
        <w:rPr>
          <w:rFonts w:ascii="Meiryo UI" w:eastAsia="Meiryo UI" w:hAnsi="Meiryo UI" w:hint="eastAsia"/>
        </w:rPr>
        <w:t>のほか、</w:t>
      </w:r>
      <w:r w:rsidR="00E92566" w:rsidRPr="00C0430A">
        <w:rPr>
          <w:rFonts w:ascii="Meiryo UI" w:eastAsia="Meiryo UI" w:hAnsi="Meiryo UI" w:hint="eastAsia"/>
        </w:rPr>
        <w:t>温暖化防止条例</w:t>
      </w:r>
      <w:r w:rsidR="00EE1029" w:rsidRPr="00C0430A">
        <w:rPr>
          <w:rFonts w:ascii="Meiryo UI" w:eastAsia="Meiryo UI" w:hAnsi="Meiryo UI" w:hint="eastAsia"/>
        </w:rPr>
        <w:t>に基づく</w:t>
      </w:r>
      <w:r w:rsidR="00E92566" w:rsidRPr="00C0430A">
        <w:rPr>
          <w:rFonts w:ascii="Meiryo UI" w:eastAsia="Meiryo UI" w:hAnsi="Meiryo UI" w:hint="eastAsia"/>
        </w:rPr>
        <w:t>特定事業者の届出値や国の各種統計</w:t>
      </w:r>
      <w:r w:rsidR="000D1465" w:rsidRPr="00C0430A">
        <w:rPr>
          <w:rFonts w:ascii="Meiryo UI" w:eastAsia="Meiryo UI" w:hAnsi="Meiryo UI" w:hint="eastAsia"/>
        </w:rPr>
        <w:t>等</w:t>
      </w:r>
      <w:r w:rsidR="004C6471" w:rsidRPr="00C0430A">
        <w:rPr>
          <w:rFonts w:ascii="Meiryo UI" w:eastAsia="Meiryo UI" w:hAnsi="Meiryo UI" w:hint="eastAsia"/>
        </w:rPr>
        <w:t>を</w:t>
      </w:r>
      <w:r w:rsidR="00E92566" w:rsidRPr="00C0430A">
        <w:rPr>
          <w:rFonts w:ascii="Meiryo UI" w:eastAsia="Meiryo UI" w:hAnsi="Meiryo UI" w:hint="eastAsia"/>
        </w:rPr>
        <w:t>用いて</w:t>
      </w:r>
      <w:r w:rsidR="004C6471" w:rsidRPr="00C0430A">
        <w:rPr>
          <w:rFonts w:ascii="Meiryo UI" w:eastAsia="Meiryo UI" w:hAnsi="Meiryo UI" w:hint="eastAsia"/>
        </w:rPr>
        <w:t>算出</w:t>
      </w:r>
      <w:r w:rsidR="00E0203F" w:rsidRPr="00C0430A">
        <w:rPr>
          <w:rFonts w:ascii="Meiryo UI" w:eastAsia="Meiryo UI" w:hAnsi="Meiryo UI" w:hint="eastAsia"/>
        </w:rPr>
        <w:t>。</w:t>
      </w:r>
    </w:p>
    <w:p w14:paraId="652BDB09" w14:textId="62E978AC" w:rsidR="00C0430A" w:rsidRDefault="00A47909" w:rsidP="00C0430A">
      <w:pPr>
        <w:ind w:left="210" w:hangingChars="100" w:hanging="210"/>
        <w:rPr>
          <w:rFonts w:ascii="Meiryo UI" w:eastAsia="Meiryo UI" w:hAnsi="Meiryo UI"/>
        </w:rPr>
      </w:pPr>
      <w:r>
        <w:rPr>
          <w:rFonts w:ascii="Meiryo UI" w:eastAsia="Meiryo UI" w:hAnsi="Meiryo UI" w:hint="eastAsia"/>
          <w:b/>
          <w:noProof/>
        </w:rPr>
        <mc:AlternateContent>
          <mc:Choice Requires="wps">
            <w:drawing>
              <wp:anchor distT="0" distB="0" distL="114300" distR="114300" simplePos="0" relativeHeight="251665408" behindDoc="0" locked="0" layoutInCell="1" allowOverlap="1" wp14:anchorId="1EF12D60" wp14:editId="1A3FCB2B">
                <wp:simplePos x="0" y="0"/>
                <wp:positionH relativeFrom="column">
                  <wp:posOffset>2667317</wp:posOffset>
                </wp:positionH>
                <wp:positionV relativeFrom="paragraph">
                  <wp:posOffset>136843</wp:posOffset>
                </wp:positionV>
                <wp:extent cx="288000" cy="1044000"/>
                <wp:effectExtent l="0" t="0" r="0" b="39053"/>
                <wp:wrapNone/>
                <wp:docPr id="2" name="右矢印 2"/>
                <wp:cNvGraphicFramePr/>
                <a:graphic xmlns:a="http://schemas.openxmlformats.org/drawingml/2006/main">
                  <a:graphicData uri="http://schemas.microsoft.com/office/word/2010/wordprocessingShape">
                    <wps:wsp>
                      <wps:cNvSpPr/>
                      <wps:spPr>
                        <a:xfrm rot="5400000">
                          <a:off x="0" y="0"/>
                          <a:ext cx="288000" cy="1044000"/>
                        </a:xfrm>
                        <a:prstGeom prst="rightArrow">
                          <a:avLst>
                            <a:gd name="adj1" fmla="val 50000"/>
                            <a:gd name="adj2" fmla="val 67182"/>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8F0D5A"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2" o:spid="_x0000_s1026" type="#_x0000_t13" style="position:absolute;left:0;text-align:left;margin-left:210pt;margin-top:10.8pt;width:22.7pt;height:82.2pt;rotation:9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" adj="7089" fillcolor="#5b9bd5 [3204]" strokecolor="#1f4d78 [1604]" strokeweight="1pt"/>
            </w:pict>
          </mc:Fallback>
        </mc:AlternateContent>
      </w:r>
      <w:r w:rsidR="008B1107" w:rsidRPr="00C0430A">
        <w:rPr>
          <w:rFonts w:ascii="Meiryo UI" w:eastAsia="Meiryo UI" w:hAnsi="Meiryo UI" w:hint="eastAsia"/>
        </w:rPr>
        <w:sym w:font="Wingdings" w:char="F0D8"/>
      </w:r>
      <w:r w:rsidR="00C0430A" w:rsidRPr="00C0430A">
        <w:rPr>
          <w:rFonts w:ascii="Meiryo UI" w:eastAsia="Meiryo UI" w:hAnsi="Meiryo UI" w:hint="eastAsia"/>
        </w:rPr>
        <w:t xml:space="preserve">　</w:t>
      </w:r>
      <w:r w:rsidR="00BE1D67" w:rsidRPr="00C0430A">
        <w:rPr>
          <w:rFonts w:ascii="Meiryo UI" w:eastAsia="Meiryo UI" w:hAnsi="Meiryo UI" w:hint="eastAsia"/>
        </w:rPr>
        <w:t>電力</w:t>
      </w:r>
      <w:r w:rsidR="00C0430A" w:rsidRPr="00C0430A">
        <w:rPr>
          <w:rFonts w:ascii="Meiryo UI" w:eastAsia="Meiryo UI" w:hAnsi="Meiryo UI" w:hint="eastAsia"/>
        </w:rPr>
        <w:t>・</w:t>
      </w:r>
      <w:r w:rsidR="00BE1D67" w:rsidRPr="00C0430A">
        <w:rPr>
          <w:rFonts w:ascii="Meiryo UI" w:eastAsia="Meiryo UI" w:hAnsi="Meiryo UI" w:hint="eastAsia"/>
        </w:rPr>
        <w:t>ガスの</w:t>
      </w:r>
      <w:r w:rsidR="006579F1" w:rsidRPr="00C0430A">
        <w:rPr>
          <w:rFonts w:ascii="Meiryo UI" w:eastAsia="Meiryo UI" w:hAnsi="Meiryo UI" w:hint="eastAsia"/>
        </w:rPr>
        <w:t>全面</w:t>
      </w:r>
      <w:r w:rsidR="00BE1D67" w:rsidRPr="00C0430A">
        <w:rPr>
          <w:rFonts w:ascii="Meiryo UI" w:eastAsia="Meiryo UI" w:hAnsi="Meiryo UI" w:hint="eastAsia"/>
        </w:rPr>
        <w:t>自由化により、</w:t>
      </w:r>
      <w:r w:rsidR="001C4DD4" w:rsidRPr="00C0430A">
        <w:rPr>
          <w:rFonts w:ascii="Meiryo UI" w:eastAsia="Meiryo UI" w:hAnsi="Meiryo UI" w:hint="eastAsia"/>
        </w:rPr>
        <w:t>一部の</w:t>
      </w:r>
      <w:r w:rsidR="00BE1D67" w:rsidRPr="00C0430A">
        <w:rPr>
          <w:rFonts w:ascii="Meiryo UI" w:eastAsia="Meiryo UI" w:hAnsi="Meiryo UI" w:hint="eastAsia"/>
        </w:rPr>
        <w:t>小売電気事業者</w:t>
      </w:r>
      <w:r w:rsidR="009056E1" w:rsidRPr="00C0430A">
        <w:rPr>
          <w:rFonts w:ascii="Meiryo UI" w:eastAsia="Meiryo UI" w:hAnsi="Meiryo UI" w:hint="eastAsia"/>
        </w:rPr>
        <w:t>や</w:t>
      </w:r>
      <w:r w:rsidR="00BE1D67" w:rsidRPr="00C0430A">
        <w:rPr>
          <w:rFonts w:ascii="Meiryo UI" w:eastAsia="Meiryo UI" w:hAnsi="Meiryo UI" w:hint="eastAsia"/>
        </w:rPr>
        <w:t>小売ガス事業者</w:t>
      </w:r>
      <w:r w:rsidR="00B40D26">
        <w:rPr>
          <w:rFonts w:ascii="Meiryo UI" w:eastAsia="Meiryo UI" w:hAnsi="Meiryo UI" w:hint="eastAsia"/>
        </w:rPr>
        <w:t>が</w:t>
      </w:r>
      <w:r w:rsidR="0010462A">
        <w:rPr>
          <w:rFonts w:ascii="Meiryo UI" w:eastAsia="Meiryo UI" w:hAnsi="Meiryo UI" w:hint="eastAsia"/>
        </w:rPr>
        <w:t>府域</w:t>
      </w:r>
      <w:r w:rsidR="00BE1D67" w:rsidRPr="00C0430A">
        <w:rPr>
          <w:rFonts w:ascii="Meiryo UI" w:eastAsia="Meiryo UI" w:hAnsi="Meiryo UI" w:hint="eastAsia"/>
        </w:rPr>
        <w:t>の販売実績</w:t>
      </w:r>
      <w:r w:rsidR="00084014">
        <w:rPr>
          <w:rFonts w:ascii="Meiryo UI" w:eastAsia="Meiryo UI" w:hAnsi="Meiryo UI" w:hint="eastAsia"/>
        </w:rPr>
        <w:t>（部門別など）</w:t>
      </w:r>
      <w:r w:rsidR="00D17E0A" w:rsidRPr="00C0430A">
        <w:rPr>
          <w:rFonts w:ascii="Meiryo UI" w:eastAsia="Meiryo UI" w:hAnsi="Meiryo UI" w:hint="eastAsia"/>
        </w:rPr>
        <w:t>を秘匿情報扱いと</w:t>
      </w:r>
      <w:r w:rsidR="00C0430A" w:rsidRPr="00C0430A">
        <w:rPr>
          <w:rFonts w:ascii="Meiryo UI" w:eastAsia="Meiryo UI" w:hAnsi="Meiryo UI" w:hint="eastAsia"/>
        </w:rPr>
        <w:t>したことから、</w:t>
      </w:r>
      <w:r w:rsidR="00D17E0A" w:rsidRPr="00C0430A">
        <w:rPr>
          <w:rFonts w:ascii="Meiryo UI" w:eastAsia="Meiryo UI" w:hAnsi="Meiryo UI" w:hint="eastAsia"/>
        </w:rPr>
        <w:t>府</w:t>
      </w:r>
      <w:r w:rsidR="00C0430A" w:rsidRPr="00C0430A">
        <w:rPr>
          <w:rFonts w:ascii="Meiryo UI" w:eastAsia="Meiryo UI" w:hAnsi="Meiryo UI" w:hint="eastAsia"/>
        </w:rPr>
        <w:t>において</w:t>
      </w:r>
      <w:r w:rsidR="00C0430A">
        <w:rPr>
          <w:rFonts w:ascii="Meiryo UI" w:eastAsia="Meiryo UI" w:hAnsi="Meiryo UI" w:hint="eastAsia"/>
        </w:rPr>
        <w:t>算出に必要なデータが</w:t>
      </w:r>
      <w:r w:rsidR="00C0430A" w:rsidRPr="00C0430A">
        <w:rPr>
          <w:rFonts w:ascii="Meiryo UI" w:eastAsia="Meiryo UI" w:hAnsi="Meiryo UI" w:hint="eastAsia"/>
        </w:rPr>
        <w:t>入手</w:t>
      </w:r>
      <w:r w:rsidR="00D17E0A" w:rsidRPr="00C0430A">
        <w:rPr>
          <w:rFonts w:ascii="Meiryo UI" w:eastAsia="Meiryo UI" w:hAnsi="Meiryo UI" w:hint="eastAsia"/>
        </w:rPr>
        <w:t>できなくなった。</w:t>
      </w:r>
    </w:p>
    <w:p w14:paraId="4BC65E91" w14:textId="17BE60A9" w:rsidR="00743AF8" w:rsidRDefault="00743AF8" w:rsidP="002E66F9">
      <w:pPr>
        <w:spacing w:before="240"/>
        <w:ind w:left="210" w:hangingChars="100" w:hanging="210"/>
        <w:rPr>
          <w:rFonts w:ascii="Meiryo UI" w:eastAsia="Meiryo UI" w:hAnsi="Meiryo UI"/>
        </w:rPr>
      </w:pPr>
    </w:p>
    <w:p w14:paraId="5138FB27" w14:textId="12042D84" w:rsidR="004C6471" w:rsidRPr="00C0430A" w:rsidRDefault="000F5A10" w:rsidP="0084004D">
      <w:pPr>
        <w:ind w:leftChars="270" w:left="567" w:rightChars="133" w:right="279" w:firstLine="2"/>
        <w:rPr>
          <w:rFonts w:ascii="Meiryo UI" w:eastAsia="Meiryo UI" w:hAnsi="Meiryo UI"/>
          <w:b/>
          <w:u w:val="single"/>
        </w:rPr>
      </w:pPr>
      <w:r w:rsidRPr="0065591B">
        <w:rPr>
          <w:rFonts w:ascii="Meiryo UI" w:eastAsia="Meiryo UI" w:hAnsi="Meiryo UI" w:hint="eastAsia"/>
          <w:b/>
          <w:u w:val="single"/>
        </w:rPr>
        <w:t>令和２年度中に策定する次期計画における目標設定や進捗管理を見据え</w:t>
      </w:r>
      <w:r>
        <w:rPr>
          <w:rFonts w:ascii="Meiryo UI" w:eastAsia="Meiryo UI" w:hAnsi="Meiryo UI" w:hint="eastAsia"/>
          <w:b/>
          <w:u w:val="single"/>
        </w:rPr>
        <w:t>、</w:t>
      </w:r>
      <w:r w:rsidR="0065591B">
        <w:rPr>
          <w:rFonts w:ascii="Meiryo UI" w:eastAsia="Meiryo UI" w:hAnsi="Meiryo UI" w:hint="eastAsia"/>
          <w:b/>
          <w:u w:val="single"/>
        </w:rPr>
        <w:t>可能な限り</w:t>
      </w:r>
      <w:r w:rsidR="00F20015">
        <w:rPr>
          <w:rFonts w:ascii="Meiryo UI" w:eastAsia="Meiryo UI" w:hAnsi="Meiryo UI" w:hint="eastAsia"/>
          <w:b/>
          <w:u w:val="single"/>
        </w:rPr>
        <w:t>長期</w:t>
      </w:r>
      <w:r w:rsidR="00285484">
        <w:rPr>
          <w:rFonts w:ascii="Meiryo UI" w:eastAsia="Meiryo UI" w:hAnsi="Meiryo UI" w:hint="eastAsia"/>
          <w:b/>
          <w:u w:val="single"/>
        </w:rPr>
        <w:t>的に</w:t>
      </w:r>
      <w:r w:rsidR="00F20015">
        <w:rPr>
          <w:rFonts w:ascii="Meiryo UI" w:eastAsia="Meiryo UI" w:hAnsi="Meiryo UI" w:hint="eastAsia"/>
          <w:b/>
          <w:u w:val="single"/>
        </w:rPr>
        <w:t>使用できる</w:t>
      </w:r>
      <w:r w:rsidR="0065591B">
        <w:rPr>
          <w:rFonts w:ascii="Meiryo UI" w:eastAsia="Meiryo UI" w:hAnsi="Meiryo UI" w:hint="eastAsia"/>
          <w:b/>
          <w:u w:val="single"/>
        </w:rPr>
        <w:t>算定方法</w:t>
      </w:r>
      <w:r>
        <w:rPr>
          <w:rFonts w:ascii="Meiryo UI" w:eastAsia="Meiryo UI" w:hAnsi="Meiryo UI" w:hint="eastAsia"/>
          <w:b/>
          <w:u w:val="single"/>
        </w:rPr>
        <w:t>について</w:t>
      </w:r>
      <w:r w:rsidR="0065591B" w:rsidRPr="0065591B">
        <w:rPr>
          <w:rFonts w:ascii="Meiryo UI" w:eastAsia="Meiryo UI" w:hAnsi="Meiryo UI" w:hint="eastAsia"/>
          <w:b/>
          <w:u w:val="single"/>
        </w:rPr>
        <w:t>検討を行う。</w:t>
      </w:r>
    </w:p>
    <w:p w14:paraId="68EA209A" w14:textId="77777777" w:rsidR="00C30648" w:rsidRPr="00285484" w:rsidRDefault="00C30648" w:rsidP="00C30648">
      <w:pPr>
        <w:rPr>
          <w:rFonts w:ascii="Meiryo UI" w:eastAsia="Meiryo UI" w:hAnsi="Meiryo UI"/>
          <w:b/>
        </w:rPr>
      </w:pPr>
    </w:p>
    <w:p w14:paraId="1207E4E8" w14:textId="1C751D06" w:rsidR="004C6471" w:rsidRDefault="00032F34" w:rsidP="00C30648">
      <w:pPr>
        <w:rPr>
          <w:rFonts w:ascii="Meiryo UI" w:eastAsia="Meiryo UI" w:hAnsi="Meiryo UI"/>
          <w:b/>
        </w:rPr>
      </w:pPr>
      <w:r w:rsidRPr="00C0430A">
        <w:rPr>
          <w:rFonts w:ascii="Meiryo UI" w:eastAsia="Meiryo UI" w:hAnsi="Meiryo UI" w:hint="eastAsia"/>
          <w:b/>
        </w:rPr>
        <w:t>＜</w:t>
      </w:r>
      <w:r w:rsidR="00E714F8" w:rsidRPr="00C0430A">
        <w:rPr>
          <w:rFonts w:ascii="Meiryo UI" w:eastAsia="Meiryo UI" w:hAnsi="Meiryo UI" w:hint="eastAsia"/>
          <w:b/>
        </w:rPr>
        <w:t>今後の算定方法の</w:t>
      </w:r>
      <w:r w:rsidRPr="00C0430A">
        <w:rPr>
          <w:rFonts w:ascii="Meiryo UI" w:eastAsia="Meiryo UI" w:hAnsi="Meiryo UI" w:hint="eastAsia"/>
          <w:b/>
        </w:rPr>
        <w:t>方向性</w:t>
      </w:r>
      <w:r w:rsidR="00C0430A" w:rsidRPr="00C0430A">
        <w:rPr>
          <w:rFonts w:ascii="Meiryo UI" w:eastAsia="Meiryo UI" w:hAnsi="Meiryo UI" w:hint="eastAsia"/>
          <w:b/>
        </w:rPr>
        <w:t>のポイント</w:t>
      </w:r>
      <w:r w:rsidRPr="00C0430A">
        <w:rPr>
          <w:rFonts w:ascii="Meiryo UI" w:eastAsia="Meiryo UI" w:hAnsi="Meiryo UI" w:hint="eastAsia"/>
          <w:b/>
        </w:rPr>
        <w:t>＞</w:t>
      </w:r>
    </w:p>
    <w:p w14:paraId="53E73683" w14:textId="554365D0" w:rsidR="003E56AF" w:rsidRDefault="003E56AF" w:rsidP="00C30648">
      <w:pPr>
        <w:rPr>
          <w:rFonts w:ascii="Meiryo UI" w:eastAsia="Meiryo UI" w:hAnsi="Meiryo UI"/>
        </w:rPr>
      </w:pPr>
      <w:r w:rsidRPr="00C0430A">
        <w:rPr>
          <w:rFonts w:ascii="Meiryo UI" w:eastAsia="Meiryo UI" w:hAnsi="Meiryo UI" w:hint="eastAsia"/>
        </w:rPr>
        <w:sym w:font="Wingdings" w:char="F0D8"/>
      </w:r>
      <w:r w:rsidRPr="00C0430A">
        <w:rPr>
          <w:rFonts w:ascii="Meiryo UI" w:eastAsia="Meiryo UI" w:hAnsi="Meiryo UI" w:hint="eastAsia"/>
        </w:rPr>
        <w:t xml:space="preserve">　</w:t>
      </w:r>
      <w:r>
        <w:rPr>
          <w:rFonts w:ascii="Meiryo UI" w:eastAsia="Meiryo UI" w:hAnsi="Meiryo UI" w:hint="eastAsia"/>
        </w:rPr>
        <w:t>今後の方向性に基づき、可能な</w:t>
      </w:r>
      <w:r w:rsidR="00AC3E39">
        <w:rPr>
          <w:rFonts w:ascii="Meiryo UI" w:eastAsia="Meiryo UI" w:hAnsi="Meiryo UI" w:hint="eastAsia"/>
        </w:rPr>
        <w:t>ものについては</w:t>
      </w:r>
      <w:r>
        <w:rPr>
          <w:rFonts w:ascii="Meiryo UI" w:eastAsia="Meiryo UI" w:hAnsi="Meiryo UI" w:hint="eastAsia"/>
        </w:rPr>
        <w:t>遡及し再算出する。</w:t>
      </w:r>
    </w:p>
    <w:p w14:paraId="1FEE33C3" w14:textId="6A25ABAA" w:rsidR="00AE60ED" w:rsidRPr="002E66F9" w:rsidRDefault="00BE1D67" w:rsidP="00B8115B">
      <w:pPr>
        <w:spacing w:beforeLines="50" w:before="180"/>
        <w:rPr>
          <w:rFonts w:ascii="Meiryo UI" w:eastAsia="Meiryo UI" w:hAnsi="Meiryo UI"/>
          <w:b/>
        </w:rPr>
      </w:pPr>
      <w:r w:rsidRPr="002E66F9">
        <w:rPr>
          <w:rFonts w:ascii="Meiryo UI" w:eastAsia="Meiryo UI" w:hAnsi="Meiryo UI" w:hint="eastAsia"/>
          <w:b/>
        </w:rPr>
        <w:t>○二酸化炭素</w:t>
      </w:r>
      <w:r w:rsidR="000F2A07">
        <w:rPr>
          <w:rFonts w:ascii="Meiryo UI" w:eastAsia="Meiryo UI" w:hAnsi="Meiryo UI" w:hint="eastAsia"/>
          <w:b/>
        </w:rPr>
        <w:t xml:space="preserve">　　　　　　　　　　　　　　　　　　　　　　　　　　　　　　　</w:t>
      </w:r>
      <w:r w:rsidR="000F2A07" w:rsidRPr="000F2A07">
        <w:rPr>
          <w:rFonts w:ascii="Meiryo UI" w:eastAsia="Meiryo UI" w:hAnsi="Meiryo UI" w:hint="eastAsia"/>
        </w:rPr>
        <w:t>※下線部が今回入手できなくなったデータ</w:t>
      </w:r>
    </w:p>
    <w:tbl>
      <w:tblPr>
        <w:tblStyle w:val="ae"/>
        <w:tblW w:w="9050" w:type="dxa"/>
        <w:jc w:val="center"/>
        <w:tblLook w:val="04A0" w:firstRow="1" w:lastRow="0" w:firstColumn="1" w:lastColumn="0" w:noHBand="0" w:noVBand="1"/>
      </w:tblPr>
      <w:tblGrid>
        <w:gridCol w:w="1403"/>
        <w:gridCol w:w="2410"/>
        <w:gridCol w:w="2268"/>
        <w:gridCol w:w="2969"/>
      </w:tblGrid>
      <w:tr w:rsidR="00FE73D0" w:rsidRPr="00C0430A" w14:paraId="3146597D" w14:textId="42735BC4" w:rsidTr="002E66F9">
        <w:trPr>
          <w:jc w:val="center"/>
        </w:trPr>
        <w:tc>
          <w:tcPr>
            <w:tcW w:w="1403" w:type="dxa"/>
            <w:tcBorders>
              <w:top w:val="single" w:sz="12" w:space="0" w:color="auto"/>
              <w:left w:val="single" w:sz="12" w:space="0" w:color="auto"/>
            </w:tcBorders>
            <w:shd w:val="clear" w:color="auto" w:fill="B4C6E7" w:themeFill="accent5" w:themeFillTint="66"/>
            <w:vAlign w:val="center"/>
          </w:tcPr>
          <w:p w14:paraId="25A4AB54" w14:textId="613AC47C" w:rsidR="00FE73D0" w:rsidRPr="00C0430A" w:rsidRDefault="003E56AF" w:rsidP="003E56AF">
            <w:pPr>
              <w:jc w:val="center"/>
              <w:rPr>
                <w:rFonts w:ascii="Meiryo UI" w:eastAsia="Meiryo UI" w:hAnsi="Meiryo UI"/>
              </w:rPr>
            </w:pPr>
            <w:r>
              <w:rPr>
                <w:rFonts w:ascii="Meiryo UI" w:eastAsia="Meiryo UI" w:hAnsi="Meiryo UI" w:hint="eastAsia"/>
              </w:rPr>
              <w:t>部　門</w:t>
            </w:r>
          </w:p>
        </w:tc>
        <w:tc>
          <w:tcPr>
            <w:tcW w:w="4678" w:type="dxa"/>
            <w:gridSpan w:val="2"/>
            <w:tcBorders>
              <w:top w:val="single" w:sz="12" w:space="0" w:color="auto"/>
            </w:tcBorders>
            <w:shd w:val="clear" w:color="auto" w:fill="B4C6E7" w:themeFill="accent5" w:themeFillTint="66"/>
            <w:vAlign w:val="center"/>
          </w:tcPr>
          <w:p w14:paraId="6DBE1C08" w14:textId="4E3A0E46" w:rsidR="00FE73D0" w:rsidRPr="00C0430A" w:rsidRDefault="00FE73D0" w:rsidP="00FE73D0">
            <w:pPr>
              <w:jc w:val="center"/>
              <w:rPr>
                <w:rFonts w:ascii="Meiryo UI" w:eastAsia="Meiryo UI" w:hAnsi="Meiryo UI"/>
              </w:rPr>
            </w:pPr>
            <w:r>
              <w:rPr>
                <w:rFonts w:ascii="Meiryo UI" w:eastAsia="Meiryo UI" w:hAnsi="Meiryo UI" w:hint="eastAsia"/>
              </w:rPr>
              <w:t>現　行</w:t>
            </w:r>
          </w:p>
        </w:tc>
        <w:tc>
          <w:tcPr>
            <w:tcW w:w="2969" w:type="dxa"/>
            <w:tcBorders>
              <w:top w:val="single" w:sz="12" w:space="0" w:color="auto"/>
              <w:right w:val="single" w:sz="12" w:space="0" w:color="auto"/>
            </w:tcBorders>
            <w:shd w:val="clear" w:color="auto" w:fill="B4C6E7" w:themeFill="accent5" w:themeFillTint="66"/>
            <w:vAlign w:val="center"/>
          </w:tcPr>
          <w:p w14:paraId="5E943D2D" w14:textId="3D6D5A0D" w:rsidR="00FE73D0" w:rsidRPr="00C0430A" w:rsidRDefault="006418EE" w:rsidP="00FC72E1">
            <w:pPr>
              <w:jc w:val="center"/>
              <w:rPr>
                <w:rFonts w:ascii="Meiryo UI" w:eastAsia="Meiryo UI" w:hAnsi="Meiryo UI"/>
              </w:rPr>
            </w:pPr>
            <w:r>
              <w:rPr>
                <w:rFonts w:ascii="Meiryo UI" w:eastAsia="Meiryo UI" w:hAnsi="Meiryo UI" w:hint="eastAsia"/>
              </w:rPr>
              <w:t>今後の</w:t>
            </w:r>
            <w:r w:rsidR="00FC72E1">
              <w:rPr>
                <w:rFonts w:ascii="Meiryo UI" w:eastAsia="Meiryo UI" w:hAnsi="Meiryo UI" w:hint="eastAsia"/>
              </w:rPr>
              <w:t>方向性（</w:t>
            </w:r>
            <w:r w:rsidR="00FE73D0" w:rsidRPr="00C0430A">
              <w:rPr>
                <w:rFonts w:ascii="Meiryo UI" w:eastAsia="Meiryo UI" w:hAnsi="Meiryo UI" w:hint="eastAsia"/>
              </w:rPr>
              <w:t>案）</w:t>
            </w:r>
          </w:p>
        </w:tc>
      </w:tr>
      <w:tr w:rsidR="00570BEB" w:rsidRPr="00C0430A" w14:paraId="10F9CBBA" w14:textId="77FBD26B" w:rsidTr="002E66F9">
        <w:trPr>
          <w:trHeight w:val="1716"/>
          <w:jc w:val="center"/>
        </w:trPr>
        <w:tc>
          <w:tcPr>
            <w:tcW w:w="1403" w:type="dxa"/>
            <w:tcBorders>
              <w:left w:val="single" w:sz="12" w:space="0" w:color="auto"/>
            </w:tcBorders>
            <w:vAlign w:val="center"/>
          </w:tcPr>
          <w:p w14:paraId="7B6F0B61" w14:textId="77777777" w:rsidR="00FF34DD" w:rsidRDefault="00570BEB" w:rsidP="002E66F9">
            <w:pPr>
              <w:spacing w:line="320" w:lineRule="exact"/>
              <w:rPr>
                <w:rFonts w:ascii="Meiryo UI" w:eastAsia="Meiryo UI" w:hAnsi="Meiryo UI"/>
              </w:rPr>
            </w:pPr>
            <w:r w:rsidRPr="00C0430A">
              <w:rPr>
                <w:rFonts w:ascii="Meiryo UI" w:eastAsia="Meiryo UI" w:hAnsi="Meiryo UI" w:hint="eastAsia"/>
              </w:rPr>
              <w:t>産業部門の</w:t>
            </w:r>
            <w:r w:rsidR="002E66F9">
              <w:rPr>
                <w:rFonts w:ascii="Meiryo UI" w:eastAsia="Meiryo UI" w:hAnsi="Meiryo UI"/>
              </w:rPr>
              <w:br/>
            </w:r>
            <w:r w:rsidRPr="00C0430A">
              <w:rPr>
                <w:rFonts w:ascii="Meiryo UI" w:eastAsia="Meiryo UI" w:hAnsi="Meiryo UI" w:hint="eastAsia"/>
              </w:rPr>
              <w:t>うち製造業</w:t>
            </w:r>
          </w:p>
          <w:p w14:paraId="2D8FE00F" w14:textId="5866D10F" w:rsidR="00FC72E1" w:rsidRPr="00C0430A" w:rsidRDefault="002E66F9" w:rsidP="00FF34DD">
            <w:pPr>
              <w:spacing w:line="320" w:lineRule="exact"/>
              <w:jc w:val="right"/>
              <w:rPr>
                <w:rFonts w:ascii="Meiryo UI" w:eastAsia="Meiryo UI" w:hAnsi="Meiryo UI"/>
              </w:rPr>
            </w:pPr>
            <w:r w:rsidRPr="00B02EC9">
              <w:rPr>
                <w:rFonts w:ascii="Meiryo UI" w:eastAsia="Meiryo UI" w:hAnsi="Meiryo UI" w:hint="eastAsia"/>
                <w:sz w:val="16"/>
                <w:szCs w:val="16"/>
              </w:rPr>
              <w:t>※</w:t>
            </w:r>
            <w:r w:rsidR="00FF34DD">
              <w:rPr>
                <w:rFonts w:ascii="Meiryo UI" w:eastAsia="Meiryo UI" w:hAnsi="Meiryo UI" w:hint="eastAsia"/>
                <w:sz w:val="16"/>
                <w:szCs w:val="16"/>
              </w:rPr>
              <w:t>１</w:t>
            </w:r>
          </w:p>
        </w:tc>
        <w:tc>
          <w:tcPr>
            <w:tcW w:w="2410" w:type="dxa"/>
            <w:tcBorders>
              <w:right w:val="dotted" w:sz="4" w:space="0" w:color="auto"/>
            </w:tcBorders>
            <w:vAlign w:val="center"/>
          </w:tcPr>
          <w:p w14:paraId="03937818" w14:textId="3F2186F0" w:rsidR="00570BEB" w:rsidRPr="00C0430A" w:rsidRDefault="00BE2AC5" w:rsidP="002E66F9">
            <w:pPr>
              <w:spacing w:line="320" w:lineRule="exact"/>
              <w:rPr>
                <w:rFonts w:ascii="Meiryo UI" w:eastAsia="Meiryo UI" w:hAnsi="Meiryo UI"/>
              </w:rPr>
            </w:pPr>
            <w:r>
              <w:rPr>
                <w:rFonts w:ascii="Meiryo UI" w:eastAsia="Meiryo UI" w:hAnsi="Meiryo UI" w:hint="eastAsia"/>
              </w:rPr>
              <w:t>温暖化防止条例の</w:t>
            </w:r>
            <w:r w:rsidR="00570BEB" w:rsidRPr="00C0430A">
              <w:rPr>
                <w:rFonts w:ascii="Meiryo UI" w:eastAsia="Meiryo UI" w:hAnsi="Meiryo UI" w:hint="eastAsia"/>
              </w:rPr>
              <w:t>特定事業者の届出値（業種別・燃料種別消費量）を基に業種別製造品出荷額等を用いて算出</w:t>
            </w:r>
          </w:p>
        </w:tc>
        <w:tc>
          <w:tcPr>
            <w:tcW w:w="2268" w:type="dxa"/>
            <w:vMerge w:val="restart"/>
            <w:tcBorders>
              <w:left w:val="dotted" w:sz="4" w:space="0" w:color="auto"/>
            </w:tcBorders>
            <w:vAlign w:val="center"/>
          </w:tcPr>
          <w:p w14:paraId="3564801C" w14:textId="231607EB" w:rsidR="00570BEB" w:rsidRDefault="006418EE" w:rsidP="004C18A0">
            <w:pPr>
              <w:spacing w:line="320" w:lineRule="exact"/>
              <w:rPr>
                <w:rFonts w:ascii="Meiryo UI" w:eastAsia="Meiryo UI" w:hAnsi="Meiryo UI"/>
              </w:rPr>
            </w:pPr>
            <w:r>
              <w:rPr>
                <w:rFonts w:ascii="Meiryo UI" w:eastAsia="Meiryo UI" w:hAnsi="Meiryo UI" w:hint="eastAsia"/>
              </w:rPr>
              <w:t>左記</w:t>
            </w:r>
            <w:r w:rsidR="00FE73D0">
              <w:rPr>
                <w:rFonts w:ascii="Meiryo UI" w:eastAsia="Meiryo UI" w:hAnsi="Meiryo UI" w:hint="eastAsia"/>
              </w:rPr>
              <w:t>の方法で算出した後、電力</w:t>
            </w:r>
            <w:r w:rsidR="004C18A0">
              <w:rPr>
                <w:rFonts w:ascii="Meiryo UI" w:eastAsia="Meiryo UI" w:hAnsi="Meiryo UI" w:hint="eastAsia"/>
              </w:rPr>
              <w:t>・ガス</w:t>
            </w:r>
            <w:r w:rsidR="00FE73D0">
              <w:rPr>
                <w:rFonts w:ascii="Meiryo UI" w:eastAsia="Meiryo UI" w:hAnsi="Meiryo UI" w:hint="eastAsia"/>
              </w:rPr>
              <w:t>については、</w:t>
            </w:r>
            <w:r w:rsidR="00570BEB" w:rsidRPr="00FC72E1">
              <w:rPr>
                <w:rFonts w:ascii="Meiryo UI" w:eastAsia="Meiryo UI" w:hAnsi="Meiryo UI" w:hint="eastAsia"/>
                <w:u w:val="single"/>
              </w:rPr>
              <w:t>小売電気事業者</w:t>
            </w:r>
            <w:r w:rsidR="0043682F">
              <w:rPr>
                <w:rFonts w:ascii="Meiryo UI" w:eastAsia="Meiryo UI" w:hAnsi="Meiryo UI" w:hint="eastAsia"/>
                <w:u w:val="single"/>
              </w:rPr>
              <w:t>や小売ガス事業者</w:t>
            </w:r>
            <w:r w:rsidR="00570BEB" w:rsidRPr="00FC72E1">
              <w:rPr>
                <w:rFonts w:ascii="Meiryo UI" w:eastAsia="Meiryo UI" w:hAnsi="Meiryo UI" w:hint="eastAsia"/>
                <w:u w:val="single"/>
              </w:rPr>
              <w:t>から提供された部門別販売量</w:t>
            </w:r>
            <w:r w:rsidR="004C18A0" w:rsidRPr="009F2C34">
              <w:rPr>
                <w:rFonts w:ascii="Meiryo UI" w:eastAsia="Meiryo UI" w:hAnsi="Meiryo UI" w:hint="eastAsia"/>
                <w:vertAlign w:val="superscript"/>
              </w:rPr>
              <w:t>※</w:t>
            </w:r>
            <w:r w:rsidR="00FF34DD" w:rsidRPr="009F2C34">
              <w:rPr>
                <w:rFonts w:ascii="Meiryo UI" w:eastAsia="Meiryo UI" w:hAnsi="Meiryo UI" w:hint="eastAsia"/>
                <w:vertAlign w:val="superscript"/>
              </w:rPr>
              <w:t>２</w:t>
            </w:r>
            <w:r w:rsidR="005A01CA">
              <w:rPr>
                <w:rFonts w:ascii="Meiryo UI" w:eastAsia="Meiryo UI" w:hAnsi="Meiryo UI" w:hint="eastAsia"/>
              </w:rPr>
              <w:t>に</w:t>
            </w:r>
            <w:r w:rsidR="009F2C34">
              <w:rPr>
                <w:rFonts w:ascii="Meiryo UI" w:eastAsia="Meiryo UI" w:hAnsi="Meiryo UI" w:hint="eastAsia"/>
              </w:rPr>
              <w:t>より</w:t>
            </w:r>
            <w:r w:rsidR="005A01CA">
              <w:rPr>
                <w:rFonts w:ascii="Meiryo UI" w:eastAsia="Meiryo UI" w:hAnsi="Meiryo UI" w:hint="eastAsia"/>
              </w:rPr>
              <w:t>補正</w:t>
            </w:r>
          </w:p>
          <w:p w14:paraId="4B72DFA0" w14:textId="6C17EF72" w:rsidR="004C18A0" w:rsidRPr="00C0430A" w:rsidRDefault="004C18A0" w:rsidP="004C18A0">
            <w:pPr>
              <w:spacing w:line="320" w:lineRule="exact"/>
              <w:ind w:leftChars="-17" w:left="199" w:hangingChars="112" w:hanging="235"/>
              <w:rPr>
                <w:rFonts w:ascii="Meiryo UI" w:eastAsia="Meiryo UI" w:hAnsi="Meiryo UI"/>
              </w:rPr>
            </w:pPr>
            <w:r>
              <w:rPr>
                <w:rFonts w:ascii="Meiryo UI" w:eastAsia="Meiryo UI" w:hAnsi="Meiryo UI" w:hint="eastAsia"/>
              </w:rPr>
              <w:t>※</w:t>
            </w:r>
            <w:r w:rsidR="00FF34DD">
              <w:rPr>
                <w:rFonts w:ascii="Meiryo UI" w:eastAsia="Meiryo UI" w:hAnsi="Meiryo UI" w:hint="eastAsia"/>
              </w:rPr>
              <w:t>２：</w:t>
            </w:r>
            <w:r>
              <w:rPr>
                <w:rFonts w:ascii="Meiryo UI" w:eastAsia="Meiryo UI" w:hAnsi="Meiryo UI" w:hint="eastAsia"/>
              </w:rPr>
              <w:t>電力については</w:t>
            </w:r>
            <w:r w:rsidRPr="004C18A0">
              <w:rPr>
                <w:rFonts w:ascii="Meiryo UI" w:eastAsia="Meiryo UI" w:hAnsi="Meiryo UI" w:hint="eastAsia"/>
              </w:rPr>
              <w:t>「電力調査統計」（経済産業省）</w:t>
            </w:r>
            <w:r>
              <w:rPr>
                <w:rFonts w:ascii="Meiryo UI" w:eastAsia="Meiryo UI" w:hAnsi="Meiryo UI" w:hint="eastAsia"/>
              </w:rPr>
              <w:t>を用いて補正</w:t>
            </w:r>
          </w:p>
        </w:tc>
        <w:tc>
          <w:tcPr>
            <w:tcW w:w="2969" w:type="dxa"/>
            <w:vMerge w:val="restart"/>
            <w:tcBorders>
              <w:right w:val="single" w:sz="12" w:space="0" w:color="auto"/>
            </w:tcBorders>
            <w:vAlign w:val="center"/>
          </w:tcPr>
          <w:p w14:paraId="4C8FBF36" w14:textId="35896A1C" w:rsidR="00570BEB" w:rsidRDefault="00FC72E1" w:rsidP="002E66F9">
            <w:pPr>
              <w:spacing w:line="320" w:lineRule="exact"/>
              <w:rPr>
                <w:rFonts w:ascii="Meiryo UI" w:eastAsia="Meiryo UI" w:hAnsi="Meiryo UI"/>
              </w:rPr>
            </w:pPr>
            <w:r>
              <w:rPr>
                <w:rFonts w:ascii="Meiryo UI" w:eastAsia="Meiryo UI" w:hAnsi="Meiryo UI" w:hint="eastAsia"/>
              </w:rPr>
              <w:t>「</w:t>
            </w:r>
            <w:r w:rsidR="00C0430A" w:rsidRPr="00C0430A">
              <w:rPr>
                <w:rFonts w:ascii="Meiryo UI" w:eastAsia="Meiryo UI" w:hAnsi="Meiryo UI" w:hint="eastAsia"/>
              </w:rPr>
              <w:t>都道府県別エネルギー消費統計</w:t>
            </w:r>
            <w:r>
              <w:rPr>
                <w:rFonts w:ascii="Meiryo UI" w:eastAsia="Meiryo UI" w:hAnsi="Meiryo UI" w:hint="eastAsia"/>
              </w:rPr>
              <w:t>」</w:t>
            </w:r>
            <w:r w:rsidR="00C0430A" w:rsidRPr="00C0430A">
              <w:rPr>
                <w:rFonts w:ascii="Meiryo UI" w:eastAsia="Meiryo UI" w:hAnsi="Meiryo UI" w:hint="eastAsia"/>
              </w:rPr>
              <w:t>（経済産業省）の部門別・業種別の燃料消費量を使用し、</w:t>
            </w:r>
            <w:r>
              <w:rPr>
                <w:rFonts w:ascii="Meiryo UI" w:eastAsia="Meiryo UI" w:hAnsi="Meiryo UI" w:hint="eastAsia"/>
              </w:rPr>
              <w:t>「</w:t>
            </w:r>
            <w:r w:rsidR="005E0EB8" w:rsidRPr="00C0430A">
              <w:rPr>
                <w:rFonts w:ascii="Meiryo UI" w:eastAsia="Meiryo UI" w:hAnsi="Meiryo UI" w:hint="eastAsia"/>
              </w:rPr>
              <w:t>電力調査統計</w:t>
            </w:r>
            <w:r>
              <w:rPr>
                <w:rFonts w:ascii="Meiryo UI" w:eastAsia="Meiryo UI" w:hAnsi="Meiryo UI" w:hint="eastAsia"/>
              </w:rPr>
              <w:t>」</w:t>
            </w:r>
            <w:r w:rsidR="00E82503">
              <w:rPr>
                <w:rFonts w:ascii="Meiryo UI" w:eastAsia="Meiryo UI" w:hAnsi="Meiryo UI" w:hint="eastAsia"/>
              </w:rPr>
              <w:t>（経済産業省）など他の統計値による補正が可能な場合は補正</w:t>
            </w:r>
          </w:p>
          <w:p w14:paraId="427BC836" w14:textId="77777777" w:rsidR="00FF34DD" w:rsidRDefault="00FF34DD" w:rsidP="00E82503">
            <w:pPr>
              <w:spacing w:line="320" w:lineRule="exact"/>
              <w:ind w:leftChars="13" w:left="148" w:hangingChars="67" w:hanging="121"/>
              <w:rPr>
                <w:rFonts w:ascii="Meiryo UI" w:eastAsia="Meiryo UI" w:hAnsi="Meiryo UI"/>
                <w:sz w:val="18"/>
                <w:szCs w:val="18"/>
              </w:rPr>
            </w:pPr>
          </w:p>
          <w:p w14:paraId="12C4425E" w14:textId="258F3FB1" w:rsidR="00252443" w:rsidRPr="005E0EB8" w:rsidRDefault="00252443" w:rsidP="00FF34DD">
            <w:pPr>
              <w:spacing w:line="320" w:lineRule="exact"/>
              <w:ind w:leftChars="-53" w:left="454" w:hangingChars="314" w:hanging="565"/>
              <w:rPr>
                <w:rFonts w:ascii="Meiryo UI" w:eastAsia="Meiryo UI" w:hAnsi="Meiryo UI"/>
                <w:sz w:val="18"/>
                <w:szCs w:val="18"/>
              </w:rPr>
            </w:pPr>
            <w:r w:rsidRPr="005E0EB8">
              <w:rPr>
                <w:rFonts w:ascii="Meiryo UI" w:eastAsia="Meiryo UI" w:hAnsi="Meiryo UI" w:hint="eastAsia"/>
                <w:sz w:val="18"/>
                <w:szCs w:val="18"/>
              </w:rPr>
              <w:t>※</w:t>
            </w:r>
            <w:r w:rsidR="00FF34DD">
              <w:rPr>
                <w:rFonts w:ascii="Meiryo UI" w:eastAsia="Meiryo UI" w:hAnsi="Meiryo UI" w:hint="eastAsia"/>
                <w:sz w:val="18"/>
                <w:szCs w:val="18"/>
              </w:rPr>
              <w:t>１：</w:t>
            </w:r>
            <w:r w:rsidRPr="005E0EB8">
              <w:rPr>
                <w:rFonts w:ascii="Meiryo UI" w:eastAsia="Meiryo UI" w:hAnsi="Meiryo UI" w:hint="eastAsia"/>
                <w:sz w:val="18"/>
                <w:szCs w:val="18"/>
              </w:rPr>
              <w:t>産業部門の非製造業については、従来どおり、都道府県別エネルギー消費統計から算出</w:t>
            </w:r>
          </w:p>
        </w:tc>
      </w:tr>
      <w:tr w:rsidR="00570BEB" w:rsidRPr="00C0430A" w14:paraId="757C27B4" w14:textId="0E32CE6B" w:rsidTr="002E66F9">
        <w:trPr>
          <w:trHeight w:val="1401"/>
          <w:jc w:val="center"/>
        </w:trPr>
        <w:tc>
          <w:tcPr>
            <w:tcW w:w="1403" w:type="dxa"/>
            <w:tcBorders>
              <w:left w:val="single" w:sz="12" w:space="0" w:color="auto"/>
            </w:tcBorders>
            <w:vAlign w:val="center"/>
          </w:tcPr>
          <w:p w14:paraId="35B9A435" w14:textId="15749372" w:rsidR="00570BEB" w:rsidRPr="00C0430A" w:rsidRDefault="00570BEB" w:rsidP="002E66F9">
            <w:pPr>
              <w:spacing w:line="320" w:lineRule="exact"/>
              <w:rPr>
                <w:rFonts w:ascii="Meiryo UI" w:eastAsia="Meiryo UI" w:hAnsi="Meiryo UI"/>
              </w:rPr>
            </w:pPr>
            <w:r w:rsidRPr="00C0430A">
              <w:rPr>
                <w:rFonts w:ascii="Meiryo UI" w:eastAsia="Meiryo UI" w:hAnsi="Meiryo UI" w:hint="eastAsia"/>
              </w:rPr>
              <w:t>業務部門</w:t>
            </w:r>
          </w:p>
        </w:tc>
        <w:tc>
          <w:tcPr>
            <w:tcW w:w="2410" w:type="dxa"/>
            <w:tcBorders>
              <w:right w:val="dotted" w:sz="4" w:space="0" w:color="auto"/>
            </w:tcBorders>
            <w:vAlign w:val="center"/>
          </w:tcPr>
          <w:p w14:paraId="2DDD6803" w14:textId="1B4F5EF1" w:rsidR="00570BEB" w:rsidRPr="00C0430A" w:rsidRDefault="00570BEB" w:rsidP="00B40D26">
            <w:pPr>
              <w:spacing w:line="320" w:lineRule="exact"/>
              <w:rPr>
                <w:rFonts w:ascii="Meiryo UI" w:eastAsia="Meiryo UI" w:hAnsi="Meiryo UI"/>
              </w:rPr>
            </w:pPr>
            <w:r w:rsidRPr="00C0430A">
              <w:rPr>
                <w:rFonts w:ascii="Meiryo UI" w:eastAsia="Meiryo UI" w:hAnsi="Meiryo UI" w:hint="eastAsia"/>
              </w:rPr>
              <w:t>各種統計の建築物用途別業務用床面積と建築物用途別床面積当たりの燃料消費量から算出</w:t>
            </w:r>
          </w:p>
        </w:tc>
        <w:tc>
          <w:tcPr>
            <w:tcW w:w="2268" w:type="dxa"/>
            <w:vMerge/>
            <w:tcBorders>
              <w:left w:val="dotted" w:sz="4" w:space="0" w:color="auto"/>
            </w:tcBorders>
            <w:vAlign w:val="center"/>
          </w:tcPr>
          <w:p w14:paraId="21EBFE01" w14:textId="77777777" w:rsidR="00570BEB" w:rsidRPr="00C0430A" w:rsidRDefault="00570BEB" w:rsidP="002E66F9">
            <w:pPr>
              <w:spacing w:line="320" w:lineRule="exact"/>
              <w:rPr>
                <w:rFonts w:ascii="Meiryo UI" w:eastAsia="Meiryo UI" w:hAnsi="Meiryo UI"/>
              </w:rPr>
            </w:pPr>
          </w:p>
        </w:tc>
        <w:tc>
          <w:tcPr>
            <w:tcW w:w="2969" w:type="dxa"/>
            <w:vMerge/>
            <w:tcBorders>
              <w:right w:val="single" w:sz="12" w:space="0" w:color="auto"/>
            </w:tcBorders>
            <w:vAlign w:val="center"/>
          </w:tcPr>
          <w:p w14:paraId="4E25902C" w14:textId="77777777" w:rsidR="00570BEB" w:rsidRPr="00C0430A" w:rsidRDefault="00570BEB" w:rsidP="00E57F38">
            <w:pPr>
              <w:rPr>
                <w:rFonts w:ascii="Meiryo UI" w:eastAsia="Meiryo UI" w:hAnsi="Meiryo UI"/>
              </w:rPr>
            </w:pPr>
          </w:p>
        </w:tc>
      </w:tr>
      <w:tr w:rsidR="00FE73D0" w:rsidRPr="00C0430A" w14:paraId="3907146D" w14:textId="1218D5C2" w:rsidTr="002E66F9">
        <w:trPr>
          <w:trHeight w:val="711"/>
          <w:jc w:val="center"/>
        </w:trPr>
        <w:tc>
          <w:tcPr>
            <w:tcW w:w="1403" w:type="dxa"/>
            <w:tcBorders>
              <w:left w:val="single" w:sz="12" w:space="0" w:color="auto"/>
              <w:bottom w:val="single" w:sz="4" w:space="0" w:color="auto"/>
            </w:tcBorders>
            <w:vAlign w:val="center"/>
          </w:tcPr>
          <w:p w14:paraId="6715B646" w14:textId="368F853A" w:rsidR="00FE73D0" w:rsidRPr="00C0430A" w:rsidRDefault="00FE73D0" w:rsidP="002E66F9">
            <w:pPr>
              <w:spacing w:line="320" w:lineRule="exact"/>
              <w:rPr>
                <w:rFonts w:ascii="Meiryo UI" w:eastAsia="Meiryo UI" w:hAnsi="Meiryo UI"/>
              </w:rPr>
            </w:pPr>
            <w:r w:rsidRPr="00C0430A">
              <w:rPr>
                <w:rFonts w:ascii="Meiryo UI" w:eastAsia="Meiryo UI" w:hAnsi="Meiryo UI" w:hint="eastAsia"/>
              </w:rPr>
              <w:t>家庭部門</w:t>
            </w:r>
          </w:p>
        </w:tc>
        <w:tc>
          <w:tcPr>
            <w:tcW w:w="4678" w:type="dxa"/>
            <w:gridSpan w:val="2"/>
            <w:tcBorders>
              <w:bottom w:val="single" w:sz="4" w:space="0" w:color="auto"/>
            </w:tcBorders>
            <w:vAlign w:val="center"/>
          </w:tcPr>
          <w:p w14:paraId="2E393DF9" w14:textId="493887A1" w:rsidR="00FE73D0" w:rsidRDefault="00FE73D0" w:rsidP="002E66F9">
            <w:pPr>
              <w:spacing w:line="320" w:lineRule="exact"/>
              <w:rPr>
                <w:rFonts w:ascii="Meiryo UI" w:eastAsia="Meiryo UI" w:hAnsi="Meiryo UI"/>
              </w:rPr>
            </w:pPr>
            <w:r w:rsidRPr="00FC72E1">
              <w:rPr>
                <w:rFonts w:ascii="Meiryo UI" w:eastAsia="Meiryo UI" w:hAnsi="Meiryo UI" w:hint="eastAsia"/>
                <w:u w:val="single"/>
              </w:rPr>
              <w:t>小売電気事業者や小売ガス事業者から提供された部門別販売量</w:t>
            </w:r>
            <w:r w:rsidR="004C18A0" w:rsidRPr="004C18A0">
              <w:rPr>
                <w:rFonts w:ascii="Meiryo UI" w:eastAsia="Meiryo UI" w:hAnsi="Meiryo UI" w:hint="eastAsia"/>
                <w:u w:val="single"/>
                <w:vertAlign w:val="superscript"/>
              </w:rPr>
              <w:t>※</w:t>
            </w:r>
            <w:r w:rsidRPr="00C0430A">
              <w:rPr>
                <w:rFonts w:ascii="Meiryo UI" w:eastAsia="Meiryo UI" w:hAnsi="Meiryo UI" w:hint="eastAsia"/>
              </w:rPr>
              <w:t>等から算出</w:t>
            </w:r>
          </w:p>
          <w:p w14:paraId="30188DDD" w14:textId="7B9EAE3F" w:rsidR="004C18A0" w:rsidRPr="00C0430A" w:rsidRDefault="004C18A0" w:rsidP="00FF34DD">
            <w:pPr>
              <w:spacing w:line="320" w:lineRule="exact"/>
              <w:ind w:leftChars="15" w:left="220" w:hangingChars="90" w:hanging="189"/>
              <w:rPr>
                <w:rFonts w:ascii="Meiryo UI" w:eastAsia="Meiryo UI" w:hAnsi="Meiryo UI"/>
              </w:rPr>
            </w:pPr>
            <w:r w:rsidRPr="004C18A0">
              <w:rPr>
                <w:rFonts w:ascii="Meiryo UI" w:eastAsia="Meiryo UI" w:hAnsi="Meiryo UI" w:hint="eastAsia"/>
              </w:rPr>
              <w:t>※電力については「電力調査統計」（経済産業省）を用いて補正</w:t>
            </w:r>
          </w:p>
        </w:tc>
        <w:tc>
          <w:tcPr>
            <w:tcW w:w="2969" w:type="dxa"/>
            <w:vMerge/>
            <w:tcBorders>
              <w:bottom w:val="single" w:sz="4" w:space="0" w:color="auto"/>
              <w:right w:val="single" w:sz="12" w:space="0" w:color="auto"/>
            </w:tcBorders>
            <w:vAlign w:val="center"/>
          </w:tcPr>
          <w:p w14:paraId="5DCD2AEC" w14:textId="77777777" w:rsidR="00FE73D0" w:rsidRPr="00C0430A" w:rsidRDefault="00FE73D0" w:rsidP="00E57F38">
            <w:pPr>
              <w:rPr>
                <w:rFonts w:ascii="Meiryo UI" w:eastAsia="Meiryo UI" w:hAnsi="Meiryo UI"/>
              </w:rPr>
            </w:pPr>
          </w:p>
        </w:tc>
      </w:tr>
      <w:tr w:rsidR="001C775C" w:rsidRPr="00C0430A" w14:paraId="473A68AE" w14:textId="22F48976" w:rsidTr="00BC16BF">
        <w:trPr>
          <w:trHeight w:val="1403"/>
          <w:jc w:val="center"/>
        </w:trPr>
        <w:tc>
          <w:tcPr>
            <w:tcW w:w="1403" w:type="dxa"/>
            <w:tcBorders>
              <w:left w:val="single" w:sz="12" w:space="0" w:color="auto"/>
              <w:bottom w:val="dashed" w:sz="4" w:space="0" w:color="auto"/>
            </w:tcBorders>
            <w:vAlign w:val="center"/>
          </w:tcPr>
          <w:p w14:paraId="6415F46B" w14:textId="74B8483D" w:rsidR="001C775C" w:rsidRPr="00C0430A" w:rsidRDefault="001C775C" w:rsidP="002E66F9">
            <w:pPr>
              <w:spacing w:line="320" w:lineRule="exact"/>
              <w:rPr>
                <w:rFonts w:ascii="Meiryo UI" w:eastAsia="Meiryo UI" w:hAnsi="Meiryo UI"/>
              </w:rPr>
            </w:pPr>
            <w:r w:rsidRPr="00C0430A">
              <w:rPr>
                <w:rFonts w:ascii="Meiryo UI" w:eastAsia="Meiryo UI" w:hAnsi="Meiryo UI" w:hint="eastAsia"/>
              </w:rPr>
              <w:t>運輸部門の</w:t>
            </w:r>
            <w:r>
              <w:rPr>
                <w:rFonts w:ascii="Meiryo UI" w:eastAsia="Meiryo UI" w:hAnsi="Meiryo UI"/>
              </w:rPr>
              <w:br/>
            </w:r>
            <w:r w:rsidRPr="00C0430A">
              <w:rPr>
                <w:rFonts w:ascii="Meiryo UI" w:eastAsia="Meiryo UI" w:hAnsi="Meiryo UI" w:hint="eastAsia"/>
              </w:rPr>
              <w:t>うち自動車</w:t>
            </w:r>
          </w:p>
        </w:tc>
        <w:tc>
          <w:tcPr>
            <w:tcW w:w="4678" w:type="dxa"/>
            <w:gridSpan w:val="2"/>
            <w:tcBorders>
              <w:bottom w:val="dashed" w:sz="4" w:space="0" w:color="auto"/>
            </w:tcBorders>
            <w:vAlign w:val="center"/>
          </w:tcPr>
          <w:p w14:paraId="199D6BB9" w14:textId="34D0C043" w:rsidR="001C775C" w:rsidRPr="00C0430A" w:rsidRDefault="001C775C" w:rsidP="00AC0736">
            <w:pPr>
              <w:spacing w:line="320" w:lineRule="exact"/>
              <w:rPr>
                <w:rFonts w:ascii="Meiryo UI" w:eastAsia="Meiryo UI" w:hAnsi="Meiryo UI"/>
              </w:rPr>
            </w:pPr>
            <w:r w:rsidRPr="000529AC">
              <w:rPr>
                <w:rFonts w:ascii="Meiryo UI" w:eastAsia="Meiryo UI" w:hAnsi="Meiryo UI" w:hint="eastAsia"/>
              </w:rPr>
              <w:t>「大阪府自動車</w:t>
            </w:r>
            <w:r w:rsidRPr="000529AC">
              <w:rPr>
                <w:rFonts w:ascii="Meiryo UI" w:eastAsia="Meiryo UI" w:hAnsi="Meiryo UI"/>
              </w:rPr>
              <w:t>NOx・PM総量削減計画進行管理調査」</w:t>
            </w:r>
            <w:r>
              <w:rPr>
                <w:rFonts w:ascii="Meiryo UI" w:eastAsia="Meiryo UI" w:hAnsi="Meiryo UI" w:hint="eastAsia"/>
              </w:rPr>
              <w:t>（大阪府）</w:t>
            </w:r>
            <w:r w:rsidRPr="00C0430A">
              <w:rPr>
                <w:rFonts w:ascii="Meiryo UI" w:eastAsia="Meiryo UI" w:hAnsi="Meiryo UI"/>
              </w:rPr>
              <w:t>の府域の車種別走行量から算出</w:t>
            </w:r>
          </w:p>
        </w:tc>
        <w:tc>
          <w:tcPr>
            <w:tcW w:w="2969" w:type="dxa"/>
            <w:tcBorders>
              <w:bottom w:val="dashed" w:sz="4" w:space="0" w:color="auto"/>
              <w:right w:val="single" w:sz="12" w:space="0" w:color="auto"/>
            </w:tcBorders>
            <w:vAlign w:val="center"/>
          </w:tcPr>
          <w:p w14:paraId="1A4A32A9" w14:textId="778847B8" w:rsidR="001C775C" w:rsidRPr="00C0430A" w:rsidRDefault="00BC16BF" w:rsidP="00BC16BF">
            <w:pPr>
              <w:spacing w:line="320" w:lineRule="exact"/>
              <w:jc w:val="center"/>
              <w:rPr>
                <w:rFonts w:ascii="Meiryo UI" w:eastAsia="Meiryo UI" w:hAnsi="Meiryo UI"/>
              </w:rPr>
            </w:pPr>
            <w:r>
              <w:rPr>
                <w:rFonts w:ascii="Meiryo UI" w:eastAsia="Meiryo UI" w:hAnsi="Meiryo UI" w:hint="eastAsia"/>
              </w:rPr>
              <w:t>変更なし（予定）</w:t>
            </w:r>
          </w:p>
        </w:tc>
      </w:tr>
      <w:tr w:rsidR="001C775C" w:rsidRPr="00C0430A" w14:paraId="0603F02F" w14:textId="77777777" w:rsidTr="00BC16BF">
        <w:trPr>
          <w:trHeight w:val="700"/>
          <w:jc w:val="center"/>
        </w:trPr>
        <w:tc>
          <w:tcPr>
            <w:tcW w:w="1403" w:type="dxa"/>
            <w:tcBorders>
              <w:top w:val="dashed" w:sz="4" w:space="0" w:color="auto"/>
              <w:left w:val="single" w:sz="12" w:space="0" w:color="auto"/>
            </w:tcBorders>
            <w:vAlign w:val="center"/>
          </w:tcPr>
          <w:p w14:paraId="2D088B26" w14:textId="5CB84611" w:rsidR="001C775C" w:rsidRPr="00C0430A" w:rsidRDefault="001C775C" w:rsidP="002E66F9">
            <w:pPr>
              <w:spacing w:line="320" w:lineRule="exact"/>
              <w:rPr>
                <w:rFonts w:ascii="Meiryo UI" w:eastAsia="Meiryo UI" w:hAnsi="Meiryo UI"/>
              </w:rPr>
            </w:pPr>
            <w:r>
              <w:rPr>
                <w:rFonts w:ascii="Meiryo UI" w:eastAsia="Meiryo UI" w:hAnsi="Meiryo UI" w:hint="eastAsia"/>
              </w:rPr>
              <w:t>運輸部門の</w:t>
            </w:r>
            <w:r>
              <w:rPr>
                <w:rFonts w:ascii="Meiryo UI" w:eastAsia="Meiryo UI" w:hAnsi="Meiryo UI"/>
              </w:rPr>
              <w:br/>
            </w:r>
            <w:r w:rsidRPr="00C0430A">
              <w:rPr>
                <w:rFonts w:ascii="Meiryo UI" w:eastAsia="Meiryo UI" w:hAnsi="Meiryo UI" w:hint="eastAsia"/>
              </w:rPr>
              <w:t>うち</w:t>
            </w:r>
            <w:r>
              <w:rPr>
                <w:rFonts w:ascii="Meiryo UI" w:eastAsia="Meiryo UI" w:hAnsi="Meiryo UI" w:hint="eastAsia"/>
              </w:rPr>
              <w:t>鉄道</w:t>
            </w:r>
          </w:p>
        </w:tc>
        <w:tc>
          <w:tcPr>
            <w:tcW w:w="4678" w:type="dxa"/>
            <w:gridSpan w:val="2"/>
            <w:tcBorders>
              <w:top w:val="dashed" w:sz="4" w:space="0" w:color="auto"/>
            </w:tcBorders>
            <w:vAlign w:val="center"/>
          </w:tcPr>
          <w:p w14:paraId="3BCEF6F0" w14:textId="5B5AF7D7" w:rsidR="001C775C" w:rsidRPr="00FC72E1" w:rsidRDefault="001C775C" w:rsidP="002E66F9">
            <w:pPr>
              <w:spacing w:line="320" w:lineRule="exact"/>
              <w:rPr>
                <w:rFonts w:ascii="Meiryo UI" w:eastAsia="Meiryo UI" w:hAnsi="Meiryo UI"/>
              </w:rPr>
            </w:pPr>
            <w:r w:rsidRPr="00252443">
              <w:rPr>
                <w:rFonts w:ascii="Meiryo UI" w:eastAsia="Meiryo UI" w:hAnsi="Meiryo UI"/>
              </w:rPr>
              <w:t>JR西日本・JR東海の公表資料及び「鉄道統計年報」（国土交通省）の電力消費量から算出</w:t>
            </w:r>
          </w:p>
        </w:tc>
        <w:tc>
          <w:tcPr>
            <w:tcW w:w="2969" w:type="dxa"/>
            <w:tcBorders>
              <w:top w:val="dashed" w:sz="4" w:space="0" w:color="auto"/>
              <w:right w:val="single" w:sz="12" w:space="0" w:color="auto"/>
            </w:tcBorders>
            <w:vAlign w:val="center"/>
          </w:tcPr>
          <w:p w14:paraId="0DE42FA1" w14:textId="744D31FB" w:rsidR="001C775C" w:rsidRDefault="00BC16BF" w:rsidP="00C22578">
            <w:pPr>
              <w:spacing w:line="320" w:lineRule="exact"/>
              <w:jc w:val="center"/>
              <w:rPr>
                <w:rFonts w:ascii="Meiryo UI" w:eastAsia="Meiryo UI" w:hAnsi="Meiryo UI"/>
              </w:rPr>
            </w:pPr>
            <w:r>
              <w:rPr>
                <w:rFonts w:ascii="Meiryo UI" w:eastAsia="Meiryo UI" w:hAnsi="Meiryo UI" w:hint="eastAsia"/>
              </w:rPr>
              <w:t>変更なし</w:t>
            </w:r>
          </w:p>
        </w:tc>
      </w:tr>
      <w:tr w:rsidR="00FC72E1" w:rsidRPr="00C0430A" w14:paraId="21BEF80E" w14:textId="77777777" w:rsidTr="002E66F9">
        <w:trPr>
          <w:trHeight w:val="695"/>
          <w:jc w:val="center"/>
        </w:trPr>
        <w:tc>
          <w:tcPr>
            <w:tcW w:w="1403" w:type="dxa"/>
            <w:tcBorders>
              <w:left w:val="single" w:sz="12" w:space="0" w:color="auto"/>
            </w:tcBorders>
            <w:vAlign w:val="center"/>
          </w:tcPr>
          <w:p w14:paraId="46B2A454" w14:textId="47E873CE" w:rsidR="00FC72E1" w:rsidRPr="00C0430A" w:rsidRDefault="00FC72E1" w:rsidP="002E66F9">
            <w:pPr>
              <w:spacing w:line="320" w:lineRule="exact"/>
              <w:rPr>
                <w:rFonts w:ascii="Meiryo UI" w:eastAsia="Meiryo UI" w:hAnsi="Meiryo UI"/>
              </w:rPr>
            </w:pPr>
            <w:r w:rsidRPr="00C0430A">
              <w:rPr>
                <w:rFonts w:ascii="Meiryo UI" w:eastAsia="Meiryo UI" w:hAnsi="Meiryo UI" w:hint="eastAsia"/>
              </w:rPr>
              <w:t>エネルギー転換部門</w:t>
            </w:r>
          </w:p>
        </w:tc>
        <w:tc>
          <w:tcPr>
            <w:tcW w:w="4678" w:type="dxa"/>
            <w:gridSpan w:val="2"/>
            <w:vAlign w:val="center"/>
          </w:tcPr>
          <w:p w14:paraId="7C1DDF6A" w14:textId="20885283" w:rsidR="00FC72E1" w:rsidRPr="00C0430A" w:rsidRDefault="00FC72E1" w:rsidP="002E66F9">
            <w:pPr>
              <w:spacing w:line="320" w:lineRule="exact"/>
              <w:rPr>
                <w:rFonts w:ascii="Meiryo UI" w:eastAsia="Meiryo UI" w:hAnsi="Meiryo UI"/>
              </w:rPr>
            </w:pPr>
            <w:r w:rsidRPr="00FC72E1">
              <w:rPr>
                <w:rFonts w:ascii="Meiryo UI" w:eastAsia="Meiryo UI" w:hAnsi="Meiryo UI" w:hint="eastAsia"/>
              </w:rPr>
              <w:t>事業者から</w:t>
            </w:r>
            <w:r w:rsidR="00B40D26">
              <w:rPr>
                <w:rFonts w:ascii="Meiryo UI" w:eastAsia="Meiryo UI" w:hAnsi="Meiryo UI" w:hint="eastAsia"/>
              </w:rPr>
              <w:t>の提供値及び温暖化防止条例に基づく特定事業者の届出値及び統計</w:t>
            </w:r>
            <w:r w:rsidRPr="00FC72E1">
              <w:rPr>
                <w:rFonts w:ascii="Meiryo UI" w:eastAsia="Meiryo UI" w:hAnsi="Meiryo UI" w:hint="eastAsia"/>
              </w:rPr>
              <w:t>から算出</w:t>
            </w:r>
          </w:p>
        </w:tc>
        <w:tc>
          <w:tcPr>
            <w:tcW w:w="2969" w:type="dxa"/>
            <w:tcBorders>
              <w:right w:val="single" w:sz="12" w:space="0" w:color="auto"/>
            </w:tcBorders>
            <w:vAlign w:val="center"/>
          </w:tcPr>
          <w:p w14:paraId="2110EF74" w14:textId="1D6539B0" w:rsidR="00FC72E1" w:rsidRPr="00C0430A" w:rsidRDefault="00FC72E1" w:rsidP="00C22578">
            <w:pPr>
              <w:spacing w:line="320" w:lineRule="exact"/>
              <w:jc w:val="center"/>
              <w:rPr>
                <w:rFonts w:ascii="Meiryo UI" w:eastAsia="Meiryo UI" w:hAnsi="Meiryo UI"/>
              </w:rPr>
            </w:pPr>
            <w:r>
              <w:rPr>
                <w:rFonts w:ascii="Meiryo UI" w:eastAsia="Meiryo UI" w:hAnsi="Meiryo UI" w:hint="eastAsia"/>
              </w:rPr>
              <w:t>変更なし</w:t>
            </w:r>
          </w:p>
        </w:tc>
      </w:tr>
      <w:tr w:rsidR="00FC72E1" w:rsidRPr="00C0430A" w14:paraId="499BE4BC" w14:textId="77777777" w:rsidTr="002E66F9">
        <w:trPr>
          <w:trHeight w:val="409"/>
          <w:jc w:val="center"/>
        </w:trPr>
        <w:tc>
          <w:tcPr>
            <w:tcW w:w="1403" w:type="dxa"/>
            <w:tcBorders>
              <w:left w:val="single" w:sz="12" w:space="0" w:color="auto"/>
              <w:bottom w:val="single" w:sz="12" w:space="0" w:color="auto"/>
            </w:tcBorders>
            <w:vAlign w:val="center"/>
          </w:tcPr>
          <w:p w14:paraId="31FDC231" w14:textId="0B23E426" w:rsidR="00FC72E1" w:rsidRPr="00C0430A" w:rsidRDefault="00FC72E1" w:rsidP="002E66F9">
            <w:pPr>
              <w:spacing w:line="320" w:lineRule="exact"/>
              <w:rPr>
                <w:rFonts w:ascii="Meiryo UI" w:eastAsia="Meiryo UI" w:hAnsi="Meiryo UI"/>
              </w:rPr>
            </w:pPr>
            <w:r w:rsidRPr="00C0430A">
              <w:rPr>
                <w:rFonts w:ascii="Meiryo UI" w:eastAsia="Meiryo UI" w:hAnsi="Meiryo UI" w:hint="eastAsia"/>
              </w:rPr>
              <w:t>廃棄物部門</w:t>
            </w:r>
          </w:p>
        </w:tc>
        <w:tc>
          <w:tcPr>
            <w:tcW w:w="4678" w:type="dxa"/>
            <w:gridSpan w:val="2"/>
            <w:tcBorders>
              <w:bottom w:val="single" w:sz="12" w:space="0" w:color="auto"/>
            </w:tcBorders>
            <w:vAlign w:val="center"/>
          </w:tcPr>
          <w:p w14:paraId="4480E38C" w14:textId="0219B60F" w:rsidR="00FC72E1" w:rsidRPr="00C0430A" w:rsidRDefault="00EE4782" w:rsidP="002E66F9">
            <w:pPr>
              <w:spacing w:line="320" w:lineRule="exact"/>
              <w:rPr>
                <w:rFonts w:ascii="Meiryo UI" w:eastAsia="Meiryo UI" w:hAnsi="Meiryo UI"/>
              </w:rPr>
            </w:pPr>
            <w:r>
              <w:rPr>
                <w:rFonts w:ascii="Meiryo UI" w:eastAsia="Meiryo UI" w:hAnsi="Meiryo UI" w:hint="eastAsia"/>
              </w:rPr>
              <w:t>国や府</w:t>
            </w:r>
            <w:r w:rsidR="00B40D26">
              <w:rPr>
                <w:rFonts w:ascii="Meiryo UI" w:eastAsia="Meiryo UI" w:hAnsi="Meiryo UI" w:hint="eastAsia"/>
              </w:rPr>
              <w:t>が</w:t>
            </w:r>
            <w:r>
              <w:rPr>
                <w:rFonts w:ascii="Meiryo UI" w:eastAsia="Meiryo UI" w:hAnsi="Meiryo UI" w:hint="eastAsia"/>
              </w:rPr>
              <w:t>集計</w:t>
            </w:r>
            <w:r w:rsidR="00B40D26">
              <w:rPr>
                <w:rFonts w:ascii="Meiryo UI" w:eastAsia="Meiryo UI" w:hAnsi="Meiryo UI" w:hint="eastAsia"/>
              </w:rPr>
              <w:t>した実績</w:t>
            </w:r>
            <w:r>
              <w:rPr>
                <w:rFonts w:ascii="Meiryo UI" w:eastAsia="Meiryo UI" w:hAnsi="Meiryo UI" w:hint="eastAsia"/>
              </w:rPr>
              <w:t>値等から算出</w:t>
            </w:r>
          </w:p>
        </w:tc>
        <w:tc>
          <w:tcPr>
            <w:tcW w:w="2969" w:type="dxa"/>
            <w:tcBorders>
              <w:bottom w:val="single" w:sz="12" w:space="0" w:color="auto"/>
              <w:right w:val="single" w:sz="12" w:space="0" w:color="auto"/>
            </w:tcBorders>
            <w:vAlign w:val="center"/>
          </w:tcPr>
          <w:p w14:paraId="1FA64B1A" w14:textId="7F7EBA6F" w:rsidR="00FC72E1" w:rsidRPr="00C0430A" w:rsidRDefault="00FC72E1" w:rsidP="00C22578">
            <w:pPr>
              <w:spacing w:line="320" w:lineRule="exact"/>
              <w:jc w:val="center"/>
              <w:rPr>
                <w:rFonts w:ascii="Meiryo UI" w:eastAsia="Meiryo UI" w:hAnsi="Meiryo UI"/>
              </w:rPr>
            </w:pPr>
            <w:r>
              <w:rPr>
                <w:rFonts w:ascii="Meiryo UI" w:eastAsia="Meiryo UI" w:hAnsi="Meiryo UI" w:hint="eastAsia"/>
              </w:rPr>
              <w:t>変更なし</w:t>
            </w:r>
          </w:p>
        </w:tc>
      </w:tr>
    </w:tbl>
    <w:p w14:paraId="7C8F57E7" w14:textId="77777777" w:rsidR="007660FC" w:rsidRDefault="007660FC" w:rsidP="00B8115B">
      <w:pPr>
        <w:spacing w:beforeLines="50" w:before="180"/>
        <w:rPr>
          <w:rFonts w:ascii="Meiryo UI" w:eastAsia="Meiryo UI" w:hAnsi="Meiryo UI"/>
          <w:b/>
        </w:rPr>
      </w:pPr>
    </w:p>
    <w:p w14:paraId="3270CE49" w14:textId="77777777" w:rsidR="00354FEB" w:rsidRDefault="00354FEB" w:rsidP="00B8115B">
      <w:pPr>
        <w:spacing w:beforeLines="50" w:before="180"/>
        <w:rPr>
          <w:rFonts w:ascii="Meiryo UI" w:eastAsia="Meiryo UI" w:hAnsi="Meiryo UI"/>
          <w:b/>
        </w:rPr>
      </w:pPr>
    </w:p>
    <w:p w14:paraId="5FD9F946" w14:textId="2EDB69A6" w:rsidR="00AE60ED" w:rsidRPr="00C0430A" w:rsidRDefault="007050D6" w:rsidP="00B8115B">
      <w:pPr>
        <w:spacing w:beforeLines="50" w:before="180"/>
        <w:rPr>
          <w:rFonts w:ascii="Meiryo UI" w:eastAsia="Meiryo UI" w:hAnsi="Meiryo UI"/>
          <w:b/>
        </w:rPr>
      </w:pPr>
      <w:r w:rsidRPr="00C0430A">
        <w:rPr>
          <w:rFonts w:ascii="Meiryo UI" w:eastAsia="Meiryo UI" w:hAnsi="Meiryo UI" w:hint="eastAsia"/>
          <w:b/>
        </w:rPr>
        <w:t>○</w:t>
      </w:r>
      <w:r w:rsidR="00AE60ED" w:rsidRPr="00C0430A">
        <w:rPr>
          <w:rFonts w:ascii="Meiryo UI" w:eastAsia="Meiryo UI" w:hAnsi="Meiryo UI" w:hint="eastAsia"/>
          <w:b/>
        </w:rPr>
        <w:t>メタン、一酸化二窒素、代替フロン</w:t>
      </w:r>
    </w:p>
    <w:p w14:paraId="483CDF27" w14:textId="2924F480" w:rsidR="00AE60ED" w:rsidRDefault="003D2F71" w:rsidP="00C0430A">
      <w:pPr>
        <w:ind w:leftChars="100" w:left="210" w:firstLineChars="100" w:firstLine="210"/>
        <w:rPr>
          <w:rFonts w:ascii="Meiryo UI" w:eastAsia="Meiryo UI" w:hAnsi="Meiryo UI"/>
        </w:rPr>
      </w:pPr>
      <w:r w:rsidRPr="00C0430A">
        <w:rPr>
          <w:rFonts w:ascii="Meiryo UI" w:eastAsia="Meiryo UI" w:hAnsi="Meiryo UI" w:hint="eastAsia"/>
        </w:rPr>
        <w:t>現状の算定方法の課題を洗い出し、</w:t>
      </w:r>
      <w:r w:rsidR="000D1465" w:rsidRPr="00C0430A">
        <w:rPr>
          <w:rFonts w:ascii="Meiryo UI" w:eastAsia="Meiryo UI" w:hAnsi="Meiryo UI" w:hint="eastAsia"/>
        </w:rPr>
        <w:t>環境省</w:t>
      </w:r>
      <w:r w:rsidR="00AE60ED" w:rsidRPr="00C0430A">
        <w:rPr>
          <w:rFonts w:ascii="Meiryo UI" w:eastAsia="Meiryo UI" w:hAnsi="Meiryo UI" w:hint="eastAsia"/>
        </w:rPr>
        <w:t>「地方公共団体実行計画（区域施策編）策定・実施マニュアル　算定手法編」</w:t>
      </w:r>
      <w:r w:rsidR="006B7861">
        <w:rPr>
          <w:rFonts w:ascii="Meiryo UI" w:eastAsia="Meiryo UI" w:hAnsi="Meiryo UI" w:hint="eastAsia"/>
        </w:rPr>
        <w:t>（平成29年３月）</w:t>
      </w:r>
      <w:r w:rsidR="00AE60ED" w:rsidRPr="00C0430A">
        <w:rPr>
          <w:rFonts w:ascii="Meiryo UI" w:eastAsia="Meiryo UI" w:hAnsi="Meiryo UI" w:hint="eastAsia"/>
        </w:rPr>
        <w:t>を参考に</w:t>
      </w:r>
      <w:r w:rsidRPr="00C0430A">
        <w:rPr>
          <w:rFonts w:ascii="Meiryo UI" w:eastAsia="Meiryo UI" w:hAnsi="Meiryo UI" w:hint="eastAsia"/>
        </w:rPr>
        <w:t>必要に応じ</w:t>
      </w:r>
      <w:r w:rsidR="00AE60ED" w:rsidRPr="00C0430A">
        <w:rPr>
          <w:rFonts w:ascii="Meiryo UI" w:eastAsia="Meiryo UI" w:hAnsi="Meiryo UI" w:hint="eastAsia"/>
        </w:rPr>
        <w:t>見直し</w:t>
      </w:r>
    </w:p>
    <w:p w14:paraId="3E2B1C7F" w14:textId="78F197AC" w:rsidR="008B1C40" w:rsidRPr="00C0430A" w:rsidRDefault="008B1C40" w:rsidP="008B1C40">
      <w:pPr>
        <w:spacing w:beforeLines="50" w:before="180"/>
        <w:rPr>
          <w:rFonts w:ascii="Meiryo UI" w:eastAsia="Meiryo UI" w:hAnsi="Meiryo UI"/>
          <w:b/>
        </w:rPr>
      </w:pPr>
      <w:r w:rsidRPr="00C0430A">
        <w:rPr>
          <w:rFonts w:ascii="Meiryo UI" w:eastAsia="Meiryo UI" w:hAnsi="Meiryo UI" w:hint="eastAsia"/>
          <w:b/>
        </w:rPr>
        <w:t>＜想定される課題＞</w:t>
      </w:r>
    </w:p>
    <w:p w14:paraId="49E2005C" w14:textId="2AE5E0F9" w:rsidR="00D00449" w:rsidRPr="00D00449" w:rsidRDefault="00D00449" w:rsidP="00D00449">
      <w:pPr>
        <w:ind w:firstLineChars="100" w:firstLine="210"/>
        <w:rPr>
          <w:rFonts w:ascii="Meiryo UI" w:eastAsia="Meiryo UI" w:hAnsi="Meiryo UI"/>
        </w:rPr>
      </w:pPr>
      <w:r w:rsidRPr="00C0430A">
        <w:rPr>
          <w:rFonts w:ascii="Meiryo UI" w:eastAsia="Meiryo UI" w:hAnsi="Meiryo UI" w:hint="eastAsia"/>
        </w:rPr>
        <w:sym w:font="Wingdings" w:char="F0D8"/>
      </w:r>
      <w:r w:rsidRPr="00C0430A">
        <w:rPr>
          <w:rFonts w:ascii="Meiryo UI" w:eastAsia="Meiryo UI" w:hAnsi="Meiryo UI" w:hint="eastAsia"/>
        </w:rPr>
        <w:t>電力自由化に伴い、実態に即した電力排出係数の把握方法</w:t>
      </w:r>
    </w:p>
    <w:p w14:paraId="399AD704" w14:textId="68E59069" w:rsidR="008B1C40" w:rsidRPr="00C0430A" w:rsidRDefault="008B1C40" w:rsidP="00C0430A">
      <w:pPr>
        <w:ind w:firstLineChars="100" w:firstLine="210"/>
        <w:rPr>
          <w:rFonts w:ascii="Meiryo UI" w:eastAsia="Meiryo UI" w:hAnsi="Meiryo UI"/>
        </w:rPr>
      </w:pPr>
      <w:r w:rsidRPr="00C0430A">
        <w:rPr>
          <w:rFonts w:ascii="Meiryo UI" w:eastAsia="Meiryo UI" w:hAnsi="Meiryo UI" w:hint="eastAsia"/>
        </w:rPr>
        <w:sym w:font="Wingdings" w:char="F0D8"/>
      </w:r>
      <w:r w:rsidRPr="00C0430A">
        <w:rPr>
          <w:rFonts w:ascii="Meiryo UI" w:eastAsia="Meiryo UI" w:hAnsi="Meiryo UI" w:hint="eastAsia"/>
        </w:rPr>
        <w:t>三フッ化窒素の計算方法</w:t>
      </w:r>
    </w:p>
    <w:p w14:paraId="60A3375A" w14:textId="17A36684" w:rsidR="00EF36AF" w:rsidRDefault="00EF36AF" w:rsidP="00EF36AF">
      <w:pPr>
        <w:ind w:firstLineChars="100" w:firstLine="210"/>
        <w:rPr>
          <w:rFonts w:ascii="Meiryo UI" w:eastAsia="Meiryo UI" w:hAnsi="Meiryo UI"/>
        </w:rPr>
      </w:pPr>
      <w:r w:rsidRPr="00C0430A">
        <w:rPr>
          <w:rFonts w:ascii="Meiryo UI" w:eastAsia="Meiryo UI" w:hAnsi="Meiryo UI" w:hint="eastAsia"/>
        </w:rPr>
        <w:sym w:font="Wingdings" w:char="F0D8"/>
      </w:r>
      <w:r>
        <w:rPr>
          <w:rFonts w:ascii="Meiryo UI" w:eastAsia="Meiryo UI" w:hAnsi="Meiryo UI" w:hint="eastAsia"/>
        </w:rPr>
        <w:t>現行の算定方法による排出量との差異</w:t>
      </w:r>
    </w:p>
    <w:p w14:paraId="04379950" w14:textId="4EF35358" w:rsidR="008B1C40" w:rsidRPr="00C0430A" w:rsidRDefault="008B1C40" w:rsidP="00C0430A">
      <w:pPr>
        <w:ind w:firstLineChars="100" w:firstLine="210"/>
        <w:rPr>
          <w:rFonts w:ascii="Meiryo UI" w:eastAsia="Meiryo UI" w:hAnsi="Meiryo UI"/>
        </w:rPr>
      </w:pPr>
      <w:r w:rsidRPr="00C0430A">
        <w:rPr>
          <w:rFonts w:ascii="Meiryo UI" w:eastAsia="Meiryo UI" w:hAnsi="Meiryo UI" w:hint="eastAsia"/>
        </w:rPr>
        <w:sym w:font="Wingdings" w:char="F0D8"/>
      </w:r>
      <w:r w:rsidRPr="00C0430A">
        <w:rPr>
          <w:rFonts w:ascii="Meiryo UI" w:eastAsia="Meiryo UI" w:hAnsi="Meiryo UI" w:hint="eastAsia"/>
        </w:rPr>
        <w:t>森林吸収</w:t>
      </w:r>
      <w:r w:rsidR="00252443">
        <w:rPr>
          <w:rFonts w:ascii="Meiryo UI" w:eastAsia="Meiryo UI" w:hAnsi="Meiryo UI" w:hint="eastAsia"/>
        </w:rPr>
        <w:t>等</w:t>
      </w:r>
      <w:r w:rsidRPr="00C0430A">
        <w:rPr>
          <w:rFonts w:ascii="Meiryo UI" w:eastAsia="Meiryo UI" w:hAnsi="Meiryo UI" w:hint="eastAsia"/>
        </w:rPr>
        <w:t>の計算方法</w:t>
      </w:r>
    </w:p>
    <w:p w14:paraId="3EC08DC6" w14:textId="77777777" w:rsidR="00ED5F8C" w:rsidRPr="00C0430A" w:rsidRDefault="00ED5F8C" w:rsidP="00C0430A">
      <w:pPr>
        <w:ind w:firstLineChars="100" w:firstLine="210"/>
        <w:rPr>
          <w:rFonts w:ascii="Meiryo UI" w:eastAsia="Meiryo UI" w:hAnsi="Meiryo UI"/>
        </w:rPr>
      </w:pPr>
    </w:p>
    <w:p w14:paraId="0310A8E0" w14:textId="77777777" w:rsidR="00CC21F2" w:rsidRPr="00C0430A" w:rsidRDefault="00CC21F2" w:rsidP="00ED5F8C">
      <w:pPr>
        <w:rPr>
          <w:rFonts w:ascii="Meiryo UI" w:eastAsia="Meiryo UI" w:hAnsi="Meiryo UI"/>
          <w:b/>
        </w:rPr>
      </w:pPr>
      <w:r w:rsidRPr="00C0430A">
        <w:rPr>
          <w:rFonts w:ascii="Meiryo UI" w:eastAsia="Meiryo UI" w:hAnsi="Meiryo UI" w:hint="eastAsia"/>
          <w:b/>
        </w:rPr>
        <w:t>＜検討のスケジュール</w:t>
      </w:r>
      <w:r w:rsidR="00B36C2A" w:rsidRPr="00C0430A">
        <w:rPr>
          <w:rFonts w:ascii="Meiryo UI" w:eastAsia="Meiryo UI" w:hAnsi="Meiryo UI" w:hint="eastAsia"/>
          <w:b/>
        </w:rPr>
        <w:t>（</w:t>
      </w:r>
      <w:r w:rsidRPr="00C0430A">
        <w:rPr>
          <w:rFonts w:ascii="Meiryo UI" w:eastAsia="Meiryo UI" w:hAnsi="Meiryo UI" w:hint="eastAsia"/>
          <w:b/>
        </w:rPr>
        <w:t>予定</w:t>
      </w:r>
      <w:r w:rsidR="00B36C2A" w:rsidRPr="00C0430A">
        <w:rPr>
          <w:rFonts w:ascii="Meiryo UI" w:eastAsia="Meiryo UI" w:hAnsi="Meiryo UI" w:hint="eastAsia"/>
          <w:b/>
        </w:rPr>
        <w:t>)</w:t>
      </w:r>
      <w:r w:rsidRPr="00C0430A">
        <w:rPr>
          <w:rFonts w:ascii="Meiryo UI" w:eastAsia="Meiryo UI" w:hAnsi="Meiryo UI" w:hint="eastAsia"/>
          <w:b/>
        </w:rPr>
        <w:t>＞</w:t>
      </w:r>
    </w:p>
    <w:p w14:paraId="312B522C" w14:textId="7AED2D28" w:rsidR="00CC21F2" w:rsidRDefault="00E172D7" w:rsidP="00CC21F2">
      <w:pPr>
        <w:rPr>
          <w:rFonts w:ascii="ＭＳ ゴシック" w:eastAsia="ＭＳ ゴシック" w:hAnsi="ＭＳ ゴシック"/>
        </w:rPr>
      </w:pPr>
      <w:r w:rsidRPr="00E172D7">
        <w:rPr>
          <w:noProof/>
        </w:rPr>
        <w:drawing>
          <wp:inline distT="0" distB="0" distL="0" distR="0" wp14:anchorId="52F0CE0B" wp14:editId="71872266">
            <wp:extent cx="5759450" cy="2014767"/>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9450" cy="2014767"/>
                    </a:xfrm>
                    <a:prstGeom prst="rect">
                      <a:avLst/>
                    </a:prstGeom>
                    <a:noFill/>
                    <a:ln>
                      <a:noFill/>
                    </a:ln>
                  </pic:spPr>
                </pic:pic>
              </a:graphicData>
            </a:graphic>
          </wp:inline>
        </w:drawing>
      </w:r>
    </w:p>
    <w:p w14:paraId="67EEE031" w14:textId="77777777" w:rsidR="00E172D7" w:rsidRDefault="00E172D7" w:rsidP="005569CE">
      <w:pPr>
        <w:jc w:val="center"/>
        <w:rPr>
          <w:rFonts w:ascii="ＭＳ ゴシック" w:eastAsia="ＭＳ ゴシック" w:hAnsi="ＭＳ ゴシック"/>
          <w:b/>
        </w:rPr>
      </w:pPr>
    </w:p>
    <w:p w14:paraId="65B42308" w14:textId="34482118" w:rsidR="00C30648" w:rsidRDefault="00D00449" w:rsidP="005569CE">
      <w:pPr>
        <w:jc w:val="center"/>
        <w:rPr>
          <w:rFonts w:ascii="ＭＳ ゴシック" w:eastAsia="ＭＳ ゴシック" w:hAnsi="ＭＳ ゴシック"/>
          <w:b/>
        </w:rPr>
      </w:pPr>
      <w:r>
        <w:rPr>
          <w:rFonts w:ascii="ＭＳ ゴシック" w:eastAsia="ＭＳ ゴシック" w:hAnsi="ＭＳ ゴシック" w:hint="eastAsia"/>
          <w:noProof/>
        </w:rPr>
        <mc:AlternateContent>
          <mc:Choice Requires="wps">
            <w:drawing>
              <wp:anchor distT="0" distB="0" distL="114300" distR="114300" simplePos="0" relativeHeight="251662336" behindDoc="0" locked="0" layoutInCell="1" allowOverlap="1" wp14:anchorId="3A2F91F5" wp14:editId="5ABF8C43">
                <wp:simplePos x="0" y="0"/>
                <wp:positionH relativeFrom="column">
                  <wp:posOffset>-109855</wp:posOffset>
                </wp:positionH>
                <wp:positionV relativeFrom="paragraph">
                  <wp:posOffset>81280</wp:posOffset>
                </wp:positionV>
                <wp:extent cx="6096000" cy="4057650"/>
                <wp:effectExtent l="0" t="0" r="19050" b="19050"/>
                <wp:wrapNone/>
                <wp:docPr id="1" name="角丸四角形 1"/>
                <wp:cNvGraphicFramePr/>
                <a:graphic xmlns:a="http://schemas.openxmlformats.org/drawingml/2006/main">
                  <a:graphicData uri="http://schemas.microsoft.com/office/word/2010/wordprocessingShape">
                    <wps:wsp>
                      <wps:cNvSpPr/>
                      <wps:spPr>
                        <a:xfrm>
                          <a:off x="0" y="0"/>
                          <a:ext cx="6096000" cy="4057650"/>
                        </a:xfrm>
                        <a:prstGeom prst="roundRect">
                          <a:avLst>
                            <a:gd name="adj" fmla="val 2935"/>
                          </a:avLst>
                        </a:prstGeom>
                        <a:noFill/>
                        <a:ln>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82B6585" id="角丸四角形 1" o:spid="_x0000_s1026" style="position:absolute;left:0;text-align:left;margin-left:-8.65pt;margin-top:6.4pt;width:480pt;height:31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92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" filled="f" strokecolor="#1f4d78 [1604]" strokeweight="1pt">
                <v:stroke dashstyle="dash" joinstyle="miter"/>
              </v:roundrect>
            </w:pict>
          </mc:Fallback>
        </mc:AlternateContent>
      </w:r>
    </w:p>
    <w:p w14:paraId="2F6E019F" w14:textId="431D149E" w:rsidR="00CC21F2" w:rsidRDefault="00CC21F2" w:rsidP="005569CE">
      <w:pPr>
        <w:jc w:val="center"/>
        <w:rPr>
          <w:rFonts w:ascii="ＭＳ ゴシック" w:eastAsia="ＭＳ ゴシック" w:hAnsi="ＭＳ ゴシック"/>
          <w:b/>
        </w:rPr>
      </w:pPr>
      <w:r w:rsidRPr="00BE1D67">
        <w:rPr>
          <w:rFonts w:ascii="ＭＳ ゴシック" w:eastAsia="ＭＳ ゴシック" w:hAnsi="ＭＳ ゴシック" w:hint="eastAsia"/>
          <w:b/>
        </w:rPr>
        <w:t>〔参考〕使用</w:t>
      </w:r>
      <w:r w:rsidR="00021564">
        <w:rPr>
          <w:rFonts w:ascii="ＭＳ ゴシック" w:eastAsia="ＭＳ ゴシック" w:hAnsi="ＭＳ ゴシック" w:hint="eastAsia"/>
          <w:b/>
        </w:rPr>
        <w:t>予定の統計</w:t>
      </w:r>
    </w:p>
    <w:p w14:paraId="1AB6B956" w14:textId="58FF6973" w:rsidR="00CC21F2" w:rsidRPr="00C30648" w:rsidRDefault="00CC21F2" w:rsidP="00B50FB7">
      <w:pPr>
        <w:spacing w:beforeLines="50" w:before="180"/>
        <w:rPr>
          <w:rFonts w:ascii="ＭＳ ゴシック" w:eastAsia="ＭＳ ゴシック" w:hAnsi="ＭＳ ゴシック"/>
        </w:rPr>
      </w:pPr>
      <w:r w:rsidRPr="00032F34">
        <w:rPr>
          <w:rFonts w:ascii="ＭＳ ゴシック" w:eastAsia="ＭＳ ゴシック" w:hAnsi="ＭＳ ゴシック" w:hint="eastAsia"/>
        </w:rPr>
        <w:sym w:font="Wingdings" w:char="F0D8"/>
      </w:r>
      <w:r>
        <w:rPr>
          <w:rFonts w:ascii="ＭＳ ゴシック" w:eastAsia="ＭＳ ゴシック" w:hAnsi="ＭＳ ゴシック" w:hint="eastAsia"/>
        </w:rPr>
        <w:t>「</w:t>
      </w:r>
      <w:r w:rsidRPr="00032F34">
        <w:rPr>
          <w:rFonts w:ascii="ＭＳ ゴシック" w:eastAsia="ＭＳ ゴシック" w:hAnsi="ＭＳ ゴシック" w:hint="eastAsia"/>
        </w:rPr>
        <w:t>都道府県別エネルギー消費統計</w:t>
      </w:r>
      <w:r>
        <w:rPr>
          <w:rFonts w:ascii="ＭＳ ゴシック" w:eastAsia="ＭＳ ゴシック" w:hAnsi="ＭＳ ゴシック" w:hint="eastAsia"/>
        </w:rPr>
        <w:t>」</w:t>
      </w:r>
      <w:r w:rsidRPr="00C30648">
        <w:rPr>
          <w:rFonts w:ascii="ＭＳ ゴシック" w:eastAsia="ＭＳ ゴシック" w:hAnsi="ＭＳ ゴシック" w:hint="eastAsia"/>
        </w:rPr>
        <w:t>（</w:t>
      </w:r>
      <w:r w:rsidR="0046507B" w:rsidRPr="00C30648">
        <w:rPr>
          <w:rFonts w:ascii="ＭＳ ゴシック" w:eastAsia="ＭＳ ゴシック" w:hAnsi="ＭＳ ゴシック" w:hint="eastAsia"/>
        </w:rPr>
        <w:t>経済産業省</w:t>
      </w:r>
      <w:r w:rsidRPr="00C30648">
        <w:rPr>
          <w:rFonts w:ascii="ＭＳ ゴシック" w:eastAsia="ＭＳ ゴシック" w:hAnsi="ＭＳ ゴシック" w:hint="eastAsia"/>
        </w:rPr>
        <w:t>が毎年12月頃に</w:t>
      </w:r>
      <w:r w:rsidR="007A3FB9" w:rsidRPr="00C30648">
        <w:rPr>
          <w:rFonts w:ascii="ＭＳ ゴシック" w:eastAsia="ＭＳ ゴシック" w:hAnsi="ＭＳ ゴシック" w:hint="eastAsia"/>
        </w:rPr>
        <w:t>前々年度分を</w:t>
      </w:r>
      <w:r w:rsidRPr="00C30648">
        <w:rPr>
          <w:rFonts w:ascii="ＭＳ ゴシック" w:eastAsia="ＭＳ ゴシック" w:hAnsi="ＭＳ ゴシック" w:hint="eastAsia"/>
        </w:rPr>
        <w:t>公表）</w:t>
      </w:r>
    </w:p>
    <w:p w14:paraId="6EF0E6C4" w14:textId="4FDB89F3" w:rsidR="00CC21F2" w:rsidRPr="00C30648" w:rsidRDefault="008B1107" w:rsidP="00CC21F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C21F2" w:rsidRPr="00C30648">
        <w:rPr>
          <w:rFonts w:ascii="ＭＳ ゴシック" w:eastAsia="ＭＳ ゴシック" w:hAnsi="ＭＳ ゴシック" w:hint="eastAsia"/>
        </w:rPr>
        <w:t>都道府県におけるエネルギー消費の実態を把握し、都道府県における温室効果ガス対策の実行計画等を作成する上での参考資料に資することが目的とされている。</w:t>
      </w:r>
    </w:p>
    <w:p w14:paraId="2AD1D4D5" w14:textId="459B5428" w:rsidR="00CC21F2" w:rsidRPr="00C30648" w:rsidRDefault="008B1107" w:rsidP="00CC21F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C21F2" w:rsidRPr="00C30648">
        <w:rPr>
          <w:rFonts w:ascii="ＭＳ ゴシック" w:eastAsia="ＭＳ ゴシック" w:hAnsi="ＭＳ ゴシック" w:hint="eastAsia"/>
        </w:rPr>
        <w:t>部門別・業種別にエネルギー種類ごとのエネルギー消費量</w:t>
      </w:r>
      <w:r w:rsidR="00F7496D" w:rsidRPr="00C30648">
        <w:rPr>
          <w:rFonts w:ascii="ＭＳ ゴシック" w:eastAsia="ＭＳ ゴシック" w:hAnsi="ＭＳ ゴシック" w:hint="eastAsia"/>
        </w:rPr>
        <w:t>〔</w:t>
      </w:r>
      <w:r w:rsidR="00CC21F2" w:rsidRPr="00C30648">
        <w:rPr>
          <w:rFonts w:ascii="ＭＳ ゴシック" w:eastAsia="ＭＳ ゴシック" w:hAnsi="ＭＳ ゴシック" w:hint="eastAsia"/>
        </w:rPr>
        <w:t>単位：kWh</w:t>
      </w:r>
      <w:r w:rsidR="00F7496D" w:rsidRPr="00C30648">
        <w:rPr>
          <w:rFonts w:ascii="ＭＳ ゴシック" w:eastAsia="ＭＳ ゴシック" w:hAnsi="ＭＳ ゴシック" w:hint="eastAsia"/>
        </w:rPr>
        <w:t>や</w:t>
      </w:r>
      <w:r w:rsidR="00CC21F2" w:rsidRPr="00C30648">
        <w:rPr>
          <w:rFonts w:ascii="ＭＳ ゴシック" w:eastAsia="ＭＳ ゴシック" w:hAnsi="ＭＳ ゴシック" w:hint="eastAsia"/>
        </w:rPr>
        <w:t>kLなど燃料別単位・J（ジュール）</w:t>
      </w:r>
      <w:r>
        <w:rPr>
          <w:rFonts w:ascii="ＭＳ ゴシック" w:eastAsia="ＭＳ ゴシック" w:hAnsi="ＭＳ ゴシック" w:hint="eastAsia"/>
        </w:rPr>
        <w:t>〕</w:t>
      </w:r>
      <w:r w:rsidR="00CC21F2" w:rsidRPr="00C30648">
        <w:rPr>
          <w:rFonts w:ascii="ＭＳ ゴシック" w:eastAsia="ＭＳ ゴシック" w:hAnsi="ＭＳ ゴシック" w:hint="eastAsia"/>
        </w:rPr>
        <w:t>及び炭素量</w:t>
      </w:r>
      <w:r w:rsidR="00F7496D" w:rsidRPr="00C30648">
        <w:rPr>
          <w:rFonts w:ascii="ＭＳ ゴシック" w:eastAsia="ＭＳ ゴシック" w:hAnsi="ＭＳ ゴシック" w:hint="eastAsia"/>
        </w:rPr>
        <w:t>〔</w:t>
      </w:r>
      <w:r w:rsidR="00CC21F2" w:rsidRPr="00C30648">
        <w:rPr>
          <w:rFonts w:ascii="ＭＳ ゴシック" w:eastAsia="ＭＳ ゴシック" w:hAnsi="ＭＳ ゴシック" w:hint="eastAsia"/>
        </w:rPr>
        <w:t>t-C</w:t>
      </w:r>
      <w:r>
        <w:rPr>
          <w:rFonts w:ascii="ＭＳ ゴシック" w:eastAsia="ＭＳ ゴシック" w:hAnsi="ＭＳ ゴシック" w:hint="eastAsia"/>
        </w:rPr>
        <w:t>〕</w:t>
      </w:r>
      <w:r w:rsidR="00CC21F2" w:rsidRPr="00C30648">
        <w:rPr>
          <w:rFonts w:ascii="ＭＳ ゴシック" w:eastAsia="ＭＳ ゴシック" w:hAnsi="ＭＳ ゴシック" w:hint="eastAsia"/>
        </w:rPr>
        <w:t>がある。</w:t>
      </w:r>
    </w:p>
    <w:p w14:paraId="4EDEAAF2" w14:textId="64239D70" w:rsidR="00CC21F2" w:rsidRPr="00C30648" w:rsidRDefault="008B1107" w:rsidP="00CC21F2">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CC21F2" w:rsidRPr="00C30648">
        <w:rPr>
          <w:rFonts w:ascii="ＭＳ ゴシック" w:eastAsia="ＭＳ ゴシック" w:hAnsi="ＭＳ ゴシック" w:hint="eastAsia"/>
        </w:rPr>
        <w:t>平成28（2016）年12月に統計方法が変更された際に精度の向上が図られている。</w:t>
      </w:r>
    </w:p>
    <w:p w14:paraId="4F50EF43" w14:textId="77777777" w:rsidR="00CC21F2" w:rsidRPr="00C30648" w:rsidRDefault="00CC21F2" w:rsidP="00CC21F2">
      <w:pPr>
        <w:ind w:leftChars="200" w:left="420"/>
        <w:rPr>
          <w:rFonts w:ascii="ＭＳ ゴシック" w:eastAsia="ＭＳ ゴシック" w:hAnsi="ＭＳ ゴシック"/>
        </w:rPr>
      </w:pPr>
      <w:r w:rsidRPr="00C30648">
        <w:rPr>
          <w:rFonts w:ascii="ＭＳ ゴシック" w:eastAsia="ＭＳ ゴシック" w:hAnsi="ＭＳ ゴシック" w:hint="eastAsia"/>
        </w:rPr>
        <w:t>具体的には、石油等消費動態統計調査の対象事業所に加え、エネルギー消費統計調査を活用し、省エネ法のエネルギー管理指定工場に該当する事業所についても、各事業所の個票のエネルギー消費量を直接計上することとされた。</w:t>
      </w:r>
    </w:p>
    <w:p w14:paraId="327457C7" w14:textId="211AE574" w:rsidR="00CC21F2" w:rsidRPr="00C30648" w:rsidRDefault="00CC21F2" w:rsidP="00B50FB7">
      <w:pPr>
        <w:ind w:leftChars="-13" w:left="406" w:hangingChars="206" w:hanging="433"/>
        <w:rPr>
          <w:rFonts w:ascii="ＭＳ ゴシック" w:eastAsia="ＭＳ ゴシック" w:hAnsi="ＭＳ ゴシック"/>
        </w:rPr>
      </w:pPr>
      <w:r w:rsidRPr="00C30648">
        <w:rPr>
          <w:rFonts w:ascii="ＭＳ ゴシック" w:eastAsia="ＭＳ ゴシック" w:hAnsi="ＭＳ ゴシック" w:hint="eastAsia"/>
        </w:rPr>
        <w:t xml:space="preserve">　</w:t>
      </w:r>
      <w:r w:rsidR="008B1107">
        <w:rPr>
          <w:rFonts w:ascii="ＭＳ ゴシック" w:eastAsia="ＭＳ ゴシック" w:hAnsi="ＭＳ ゴシック" w:hint="eastAsia"/>
        </w:rPr>
        <w:t>○</w:t>
      </w:r>
      <w:r w:rsidRPr="00C30648">
        <w:rPr>
          <w:rFonts w:ascii="ＭＳ ゴシック" w:eastAsia="ＭＳ ゴシック" w:hAnsi="ＭＳ ゴシック" w:hint="eastAsia"/>
        </w:rPr>
        <w:t>府域においては、炭素排出量カバー率で</w:t>
      </w:r>
      <w:r w:rsidR="004916DE">
        <w:rPr>
          <w:rFonts w:ascii="ＭＳ ゴシック" w:eastAsia="ＭＳ ゴシック" w:hAnsi="ＭＳ ゴシック" w:hint="eastAsia"/>
        </w:rPr>
        <w:t>６</w:t>
      </w:r>
      <w:r w:rsidRPr="00C30648">
        <w:rPr>
          <w:rFonts w:ascii="ＭＳ ゴシック" w:eastAsia="ＭＳ ゴシック" w:hAnsi="ＭＳ ゴシック"/>
        </w:rPr>
        <w:t>割弱（産業部門の</w:t>
      </w:r>
      <w:r w:rsidR="004916DE">
        <w:rPr>
          <w:rFonts w:ascii="ＭＳ ゴシック" w:eastAsia="ＭＳ ゴシック" w:hAnsi="ＭＳ ゴシック" w:hint="eastAsia"/>
        </w:rPr>
        <w:t>８</w:t>
      </w:r>
      <w:r w:rsidRPr="00C30648">
        <w:rPr>
          <w:rFonts w:ascii="ＭＳ ゴシック" w:eastAsia="ＭＳ ゴシック" w:hAnsi="ＭＳ ゴシック"/>
        </w:rPr>
        <w:t>割半ば、業務部門の</w:t>
      </w:r>
      <w:r w:rsidR="004916DE">
        <w:rPr>
          <w:rFonts w:ascii="ＭＳ ゴシック" w:eastAsia="ＭＳ ゴシック" w:hAnsi="ＭＳ ゴシック" w:hint="eastAsia"/>
        </w:rPr>
        <w:t>２</w:t>
      </w:r>
      <w:r w:rsidRPr="00C30648">
        <w:rPr>
          <w:rFonts w:ascii="ＭＳ ゴシック" w:eastAsia="ＭＳ ゴシック" w:hAnsi="ＭＳ ゴシック"/>
        </w:rPr>
        <w:t>割弱）</w:t>
      </w:r>
      <w:r w:rsidRPr="00C30648">
        <w:rPr>
          <w:rFonts w:ascii="ＭＳ ゴシック" w:eastAsia="ＭＳ ゴシック" w:hAnsi="ＭＳ ゴシック" w:hint="eastAsia"/>
        </w:rPr>
        <w:t xml:space="preserve">　　　　</w:t>
      </w:r>
      <w:r w:rsidRPr="00C30648">
        <w:rPr>
          <w:rFonts w:ascii="ＭＳ ゴシック" w:eastAsia="ＭＳ ゴシック" w:hAnsi="ＭＳ ゴシック"/>
        </w:rPr>
        <w:t>の</w:t>
      </w:r>
      <w:r w:rsidRPr="00C30648">
        <w:rPr>
          <w:rFonts w:ascii="ＭＳ ゴシック" w:eastAsia="ＭＳ ゴシック" w:hAnsi="ＭＳ ゴシック" w:hint="eastAsia"/>
        </w:rPr>
        <w:t>個票が</w:t>
      </w:r>
      <w:r w:rsidRPr="00C30648">
        <w:rPr>
          <w:rFonts w:ascii="ＭＳ ゴシック" w:eastAsia="ＭＳ ゴシック" w:hAnsi="ＭＳ ゴシック"/>
        </w:rPr>
        <w:t>直接</w:t>
      </w:r>
      <w:r w:rsidRPr="00C30648">
        <w:rPr>
          <w:rFonts w:ascii="ＭＳ ゴシック" w:eastAsia="ＭＳ ゴシック" w:hAnsi="ＭＳ ゴシック" w:hint="eastAsia"/>
        </w:rPr>
        <w:t>計上されている。</w:t>
      </w:r>
    </w:p>
    <w:p w14:paraId="34583C58" w14:textId="7265CF1A" w:rsidR="00CC21F2" w:rsidRPr="00C30648" w:rsidRDefault="00CC21F2" w:rsidP="00B50FB7">
      <w:pPr>
        <w:spacing w:beforeLines="50" w:before="180"/>
        <w:rPr>
          <w:rFonts w:ascii="ＭＳ ゴシック" w:eastAsia="ＭＳ ゴシック" w:hAnsi="ＭＳ ゴシック"/>
        </w:rPr>
      </w:pPr>
      <w:r w:rsidRPr="00C30648">
        <w:rPr>
          <w:rFonts w:ascii="ＭＳ ゴシック" w:eastAsia="ＭＳ ゴシック" w:hAnsi="ＭＳ ゴシック" w:hint="eastAsia"/>
        </w:rPr>
        <w:sym w:font="Wingdings" w:char="F0D8"/>
      </w:r>
      <w:r w:rsidR="007A3FB9" w:rsidRPr="00C30648">
        <w:rPr>
          <w:rFonts w:ascii="ＭＳ ゴシック" w:eastAsia="ＭＳ ゴシック" w:hAnsi="ＭＳ ゴシック" w:hint="eastAsia"/>
        </w:rPr>
        <w:t>「</w:t>
      </w:r>
      <w:r w:rsidRPr="00C30648">
        <w:rPr>
          <w:rFonts w:ascii="ＭＳ ゴシック" w:eastAsia="ＭＳ ゴシック" w:hAnsi="ＭＳ ゴシック" w:hint="eastAsia"/>
        </w:rPr>
        <w:t>電力調査統計</w:t>
      </w:r>
      <w:r w:rsidR="007A3FB9" w:rsidRPr="00C30648">
        <w:rPr>
          <w:rFonts w:ascii="ＭＳ ゴシック" w:eastAsia="ＭＳ ゴシック" w:hAnsi="ＭＳ ゴシック" w:hint="eastAsia"/>
        </w:rPr>
        <w:t>」</w:t>
      </w:r>
      <w:r w:rsidRPr="00C30648">
        <w:rPr>
          <w:rFonts w:ascii="ＭＳ ゴシック" w:eastAsia="ＭＳ ゴシック" w:hAnsi="ＭＳ ゴシック" w:hint="eastAsia"/>
        </w:rPr>
        <w:t>（</w:t>
      </w:r>
      <w:r w:rsidR="0046507B" w:rsidRPr="00C30648">
        <w:rPr>
          <w:rFonts w:ascii="ＭＳ ゴシック" w:eastAsia="ＭＳ ゴシック" w:hAnsi="ＭＳ ゴシック" w:hint="eastAsia"/>
        </w:rPr>
        <w:t>経済産業省</w:t>
      </w:r>
      <w:r w:rsidRPr="00C30648">
        <w:rPr>
          <w:rFonts w:ascii="ＭＳ ゴシック" w:eastAsia="ＭＳ ゴシック" w:hAnsi="ＭＳ ゴシック" w:hint="eastAsia"/>
        </w:rPr>
        <w:t>が毎年</w:t>
      </w:r>
      <w:r w:rsidR="00D5559F" w:rsidRPr="00C30648">
        <w:rPr>
          <w:rFonts w:ascii="ＭＳ ゴシック" w:eastAsia="ＭＳ ゴシック" w:hAnsi="ＭＳ ゴシック" w:hint="eastAsia"/>
        </w:rPr>
        <w:t>８</w:t>
      </w:r>
      <w:r w:rsidRPr="00C30648">
        <w:rPr>
          <w:rFonts w:ascii="ＭＳ ゴシック" w:eastAsia="ＭＳ ゴシック" w:hAnsi="ＭＳ ゴシック" w:hint="eastAsia"/>
        </w:rPr>
        <w:t>月頃に</w:t>
      </w:r>
      <w:r w:rsidR="00D5559F" w:rsidRPr="00C30648">
        <w:rPr>
          <w:rFonts w:ascii="ＭＳ ゴシック" w:eastAsia="ＭＳ ゴシック" w:hAnsi="ＭＳ ゴシック" w:hint="eastAsia"/>
        </w:rPr>
        <w:t>前年度</w:t>
      </w:r>
      <w:r w:rsidR="007A3FB9" w:rsidRPr="00C30648">
        <w:rPr>
          <w:rFonts w:ascii="ＭＳ ゴシック" w:eastAsia="ＭＳ ゴシック" w:hAnsi="ＭＳ ゴシック" w:hint="eastAsia"/>
        </w:rPr>
        <w:t>分を</w:t>
      </w:r>
      <w:r w:rsidRPr="00C30648">
        <w:rPr>
          <w:rFonts w:ascii="ＭＳ ゴシック" w:eastAsia="ＭＳ ゴシック" w:hAnsi="ＭＳ ゴシック" w:hint="eastAsia"/>
        </w:rPr>
        <w:t>公表）</w:t>
      </w:r>
    </w:p>
    <w:p w14:paraId="506AF050" w14:textId="77C23B7C" w:rsidR="005E25E6" w:rsidRPr="00C30648" w:rsidRDefault="008B1107" w:rsidP="00B50FB7">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w:t>
      </w:r>
      <w:r w:rsidR="00AF1FCC" w:rsidRPr="00C30648">
        <w:rPr>
          <w:rFonts w:ascii="ＭＳ ゴシック" w:eastAsia="ＭＳ ゴシック" w:hAnsi="ＭＳ ゴシック" w:hint="eastAsia"/>
        </w:rPr>
        <w:t>平成28（</w:t>
      </w:r>
      <w:r w:rsidR="00CC21F2" w:rsidRPr="00C30648">
        <w:rPr>
          <w:rFonts w:ascii="ＭＳ ゴシック" w:eastAsia="ＭＳ ゴシック" w:hAnsi="ＭＳ ゴシック"/>
        </w:rPr>
        <w:t>2016</w:t>
      </w:r>
      <w:r w:rsidR="00AF1FCC" w:rsidRPr="00C30648">
        <w:rPr>
          <w:rFonts w:ascii="ＭＳ ゴシック" w:eastAsia="ＭＳ ゴシック" w:hAnsi="ＭＳ ゴシック" w:hint="eastAsia"/>
        </w:rPr>
        <w:t>）</w:t>
      </w:r>
      <w:r w:rsidR="00CC21F2" w:rsidRPr="00C30648">
        <w:rPr>
          <w:rFonts w:ascii="ＭＳ ゴシック" w:eastAsia="ＭＳ ゴシック" w:hAnsi="ＭＳ ゴシック"/>
        </w:rPr>
        <w:t>年度から統計の内容が変更になり、「都道府県別発電実績」や「都道府県別電</w:t>
      </w:r>
      <w:r w:rsidR="00CC21F2" w:rsidRPr="00C30648">
        <w:rPr>
          <w:rFonts w:ascii="ＭＳ ゴシック" w:eastAsia="ＭＳ ゴシック" w:hAnsi="ＭＳ ゴシック"/>
        </w:rPr>
        <w:lastRenderedPageBreak/>
        <w:t>力需要実績」などが追加された。</w:t>
      </w:r>
    </w:p>
    <w:p w14:paraId="696FB628" w14:textId="6F170C23" w:rsidR="00ED5F8C" w:rsidRPr="00ED5F8C" w:rsidRDefault="00ED5F8C" w:rsidP="00ED5F8C">
      <w:pPr>
        <w:ind w:leftChars="88" w:left="420" w:hangingChars="112" w:hanging="235"/>
        <w:rPr>
          <w:rFonts w:ascii="ＭＳ ゴシック" w:eastAsia="ＭＳ ゴシック" w:hAnsi="ＭＳ ゴシック"/>
          <w:color w:val="000000" w:themeColor="text1"/>
        </w:rPr>
      </w:pPr>
    </w:p>
    <w:sectPr w:rsidR="00ED5F8C" w:rsidRPr="00ED5F8C" w:rsidSect="00B8115B">
      <w:headerReference w:type="even" r:id="rId7"/>
      <w:headerReference w:type="default" r:id="rId8"/>
      <w:footerReference w:type="even" r:id="rId9"/>
      <w:footerReference w:type="default" r:id="rId10"/>
      <w:headerReference w:type="first" r:id="rId11"/>
      <w:footerReference w:type="first" r:id="rId12"/>
      <w:pgSz w:w="11906" w:h="16838" w:code="9"/>
      <w:pgMar w:top="907"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39CA69" w14:textId="77777777" w:rsidR="00013862" w:rsidRDefault="00013862" w:rsidP="00013862">
      <w:r>
        <w:separator/>
      </w:r>
    </w:p>
  </w:endnote>
  <w:endnote w:type="continuationSeparator" w:id="0">
    <w:p w14:paraId="486222A4" w14:textId="77777777" w:rsidR="00013862" w:rsidRDefault="00013862" w:rsidP="000138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7D5AA" w14:textId="77777777" w:rsidR="009C3014" w:rsidRDefault="009C3014">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8053E2" w14:textId="77777777" w:rsidR="009C3014" w:rsidRDefault="009C3014">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3DE3C" w14:textId="77777777" w:rsidR="009C3014" w:rsidRDefault="009C301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C624D3" w14:textId="77777777" w:rsidR="00013862" w:rsidRDefault="00013862" w:rsidP="00013862">
      <w:r>
        <w:separator/>
      </w:r>
    </w:p>
  </w:footnote>
  <w:footnote w:type="continuationSeparator" w:id="0">
    <w:p w14:paraId="399A0DD6" w14:textId="77777777" w:rsidR="00013862" w:rsidRDefault="00013862" w:rsidP="000138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843C2C" w14:textId="77777777" w:rsidR="009C3014" w:rsidRDefault="009C3014">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13657B" w14:textId="77777777" w:rsidR="009C3014" w:rsidRDefault="009C3014">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F3E17" w14:textId="77777777" w:rsidR="009C3014" w:rsidRDefault="009C3014">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86"/>
    <w:rsid w:val="00012EFC"/>
    <w:rsid w:val="00013862"/>
    <w:rsid w:val="00021564"/>
    <w:rsid w:val="0003269C"/>
    <w:rsid w:val="00032F34"/>
    <w:rsid w:val="00051B4D"/>
    <w:rsid w:val="000529AC"/>
    <w:rsid w:val="00071489"/>
    <w:rsid w:val="00084014"/>
    <w:rsid w:val="000A3327"/>
    <w:rsid w:val="000D1465"/>
    <w:rsid w:val="000F2A07"/>
    <w:rsid w:val="000F5A10"/>
    <w:rsid w:val="000F76B1"/>
    <w:rsid w:val="0010462A"/>
    <w:rsid w:val="0012574D"/>
    <w:rsid w:val="001352A6"/>
    <w:rsid w:val="001C4DD4"/>
    <w:rsid w:val="001C6A09"/>
    <w:rsid w:val="001C775C"/>
    <w:rsid w:val="001E435B"/>
    <w:rsid w:val="001F0A96"/>
    <w:rsid w:val="00225C2F"/>
    <w:rsid w:val="0023260E"/>
    <w:rsid w:val="00235EAC"/>
    <w:rsid w:val="00243E39"/>
    <w:rsid w:val="00250D63"/>
    <w:rsid w:val="00252443"/>
    <w:rsid w:val="00265F67"/>
    <w:rsid w:val="00276844"/>
    <w:rsid w:val="00285484"/>
    <w:rsid w:val="0029207A"/>
    <w:rsid w:val="002E2199"/>
    <w:rsid w:val="002E66F9"/>
    <w:rsid w:val="0031231B"/>
    <w:rsid w:val="00322FD3"/>
    <w:rsid w:val="00331806"/>
    <w:rsid w:val="00346705"/>
    <w:rsid w:val="00354FEB"/>
    <w:rsid w:val="003A53C9"/>
    <w:rsid w:val="003D2F71"/>
    <w:rsid w:val="003E56AF"/>
    <w:rsid w:val="003F52EF"/>
    <w:rsid w:val="00401A64"/>
    <w:rsid w:val="00404129"/>
    <w:rsid w:val="00407638"/>
    <w:rsid w:val="004262A2"/>
    <w:rsid w:val="0043682F"/>
    <w:rsid w:val="00444F5E"/>
    <w:rsid w:val="0046507B"/>
    <w:rsid w:val="00472916"/>
    <w:rsid w:val="004916DE"/>
    <w:rsid w:val="004C18A0"/>
    <w:rsid w:val="004C4720"/>
    <w:rsid w:val="004C6471"/>
    <w:rsid w:val="004D6367"/>
    <w:rsid w:val="004E468A"/>
    <w:rsid w:val="0052698F"/>
    <w:rsid w:val="005569CE"/>
    <w:rsid w:val="00556FF0"/>
    <w:rsid w:val="0055770A"/>
    <w:rsid w:val="00570BEB"/>
    <w:rsid w:val="00593702"/>
    <w:rsid w:val="005A01CA"/>
    <w:rsid w:val="005A1867"/>
    <w:rsid w:val="005E0EB8"/>
    <w:rsid w:val="005E25E6"/>
    <w:rsid w:val="005F4701"/>
    <w:rsid w:val="0062021F"/>
    <w:rsid w:val="006418EE"/>
    <w:rsid w:val="0065591B"/>
    <w:rsid w:val="006579F1"/>
    <w:rsid w:val="0066026B"/>
    <w:rsid w:val="006663BD"/>
    <w:rsid w:val="0068461F"/>
    <w:rsid w:val="006B5AC6"/>
    <w:rsid w:val="006B7861"/>
    <w:rsid w:val="006D6EDD"/>
    <w:rsid w:val="007050D6"/>
    <w:rsid w:val="00743AF8"/>
    <w:rsid w:val="007444B7"/>
    <w:rsid w:val="00744DC8"/>
    <w:rsid w:val="007660FC"/>
    <w:rsid w:val="00787E8D"/>
    <w:rsid w:val="007A3FB9"/>
    <w:rsid w:val="007C2006"/>
    <w:rsid w:val="00836517"/>
    <w:rsid w:val="0084004D"/>
    <w:rsid w:val="008405AF"/>
    <w:rsid w:val="00847E83"/>
    <w:rsid w:val="008861B6"/>
    <w:rsid w:val="008B1107"/>
    <w:rsid w:val="008B1C40"/>
    <w:rsid w:val="008C2A8E"/>
    <w:rsid w:val="008D7C18"/>
    <w:rsid w:val="008E5FC5"/>
    <w:rsid w:val="008E7E8D"/>
    <w:rsid w:val="009056E1"/>
    <w:rsid w:val="009172A6"/>
    <w:rsid w:val="00926D6C"/>
    <w:rsid w:val="009616D7"/>
    <w:rsid w:val="0096428D"/>
    <w:rsid w:val="009C3014"/>
    <w:rsid w:val="009F2C34"/>
    <w:rsid w:val="00A34DD3"/>
    <w:rsid w:val="00A476E8"/>
    <w:rsid w:val="00A47909"/>
    <w:rsid w:val="00A676B8"/>
    <w:rsid w:val="00A801A9"/>
    <w:rsid w:val="00AB2FA5"/>
    <w:rsid w:val="00AB61D3"/>
    <w:rsid w:val="00AC0736"/>
    <w:rsid w:val="00AC3E39"/>
    <w:rsid w:val="00AE60ED"/>
    <w:rsid w:val="00AF1FCC"/>
    <w:rsid w:val="00AF5E77"/>
    <w:rsid w:val="00B02EC9"/>
    <w:rsid w:val="00B24B66"/>
    <w:rsid w:val="00B36C2A"/>
    <w:rsid w:val="00B40D26"/>
    <w:rsid w:val="00B44B6F"/>
    <w:rsid w:val="00B50FB7"/>
    <w:rsid w:val="00B57F3D"/>
    <w:rsid w:val="00B603CB"/>
    <w:rsid w:val="00B63ECC"/>
    <w:rsid w:val="00B8115B"/>
    <w:rsid w:val="00B81A3A"/>
    <w:rsid w:val="00B953B0"/>
    <w:rsid w:val="00B9659B"/>
    <w:rsid w:val="00BA229B"/>
    <w:rsid w:val="00BA3506"/>
    <w:rsid w:val="00BC16BF"/>
    <w:rsid w:val="00BE1D67"/>
    <w:rsid w:val="00BE2AC5"/>
    <w:rsid w:val="00C0430A"/>
    <w:rsid w:val="00C22578"/>
    <w:rsid w:val="00C2459F"/>
    <w:rsid w:val="00C30648"/>
    <w:rsid w:val="00C40A01"/>
    <w:rsid w:val="00C51AAA"/>
    <w:rsid w:val="00C6705A"/>
    <w:rsid w:val="00C8066A"/>
    <w:rsid w:val="00CA152F"/>
    <w:rsid w:val="00CB7261"/>
    <w:rsid w:val="00CC21F2"/>
    <w:rsid w:val="00CC3541"/>
    <w:rsid w:val="00CE2FEB"/>
    <w:rsid w:val="00D00449"/>
    <w:rsid w:val="00D17E0A"/>
    <w:rsid w:val="00D47FA0"/>
    <w:rsid w:val="00D53688"/>
    <w:rsid w:val="00D5559F"/>
    <w:rsid w:val="00D628D5"/>
    <w:rsid w:val="00DB2445"/>
    <w:rsid w:val="00DB2986"/>
    <w:rsid w:val="00DC6CAE"/>
    <w:rsid w:val="00DF131E"/>
    <w:rsid w:val="00DF74D9"/>
    <w:rsid w:val="00E01786"/>
    <w:rsid w:val="00E0203F"/>
    <w:rsid w:val="00E172D7"/>
    <w:rsid w:val="00E17D9D"/>
    <w:rsid w:val="00E57F38"/>
    <w:rsid w:val="00E714F8"/>
    <w:rsid w:val="00E82503"/>
    <w:rsid w:val="00E92566"/>
    <w:rsid w:val="00EC172C"/>
    <w:rsid w:val="00ED5F8C"/>
    <w:rsid w:val="00EE1029"/>
    <w:rsid w:val="00EE4782"/>
    <w:rsid w:val="00EF2E85"/>
    <w:rsid w:val="00EF36AF"/>
    <w:rsid w:val="00F20015"/>
    <w:rsid w:val="00F37912"/>
    <w:rsid w:val="00F6462C"/>
    <w:rsid w:val="00F727E5"/>
    <w:rsid w:val="00F7496D"/>
    <w:rsid w:val="00F9243F"/>
    <w:rsid w:val="00FC72E1"/>
    <w:rsid w:val="00FE08E8"/>
    <w:rsid w:val="00FE73D0"/>
    <w:rsid w:val="00FF34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75C6099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032F3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013862"/>
    <w:pPr>
      <w:tabs>
        <w:tab w:val="center" w:pos="4252"/>
        <w:tab w:val="right" w:pos="8504"/>
      </w:tabs>
      <w:snapToGrid w:val="0"/>
    </w:pPr>
  </w:style>
  <w:style w:type="character" w:customStyle="1" w:styleId="a4">
    <w:name w:val="ヘッダー (文字)"/>
    <w:basedOn w:val="a0"/>
    <w:link w:val="a3"/>
    <w:uiPriority w:val="99"/>
    <w:rsid w:val="00013862"/>
  </w:style>
  <w:style w:type="paragraph" w:styleId="a5">
    <w:name w:val="footer"/>
    <w:basedOn w:val="a"/>
    <w:link w:val="a6"/>
    <w:uiPriority w:val="99"/>
    <w:unhideWhenUsed/>
    <w:rsid w:val="00013862"/>
    <w:pPr>
      <w:tabs>
        <w:tab w:val="center" w:pos="4252"/>
        <w:tab w:val="right" w:pos="8504"/>
      </w:tabs>
      <w:snapToGrid w:val="0"/>
    </w:pPr>
  </w:style>
  <w:style w:type="character" w:customStyle="1" w:styleId="a6">
    <w:name w:val="フッター (文字)"/>
    <w:basedOn w:val="a0"/>
    <w:link w:val="a5"/>
    <w:uiPriority w:val="99"/>
    <w:rsid w:val="00013862"/>
  </w:style>
  <w:style w:type="paragraph" w:styleId="a7">
    <w:name w:val="Balloon Text"/>
    <w:basedOn w:val="a"/>
    <w:link w:val="a8"/>
    <w:uiPriority w:val="99"/>
    <w:semiHidden/>
    <w:unhideWhenUsed/>
    <w:rsid w:val="0001386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3862"/>
    <w:rPr>
      <w:rFonts w:asciiTheme="majorHAnsi" w:eastAsiaTheme="majorEastAsia" w:hAnsiTheme="majorHAnsi" w:cstheme="majorBidi"/>
      <w:sz w:val="18"/>
      <w:szCs w:val="18"/>
    </w:rPr>
  </w:style>
  <w:style w:type="character" w:styleId="a9">
    <w:name w:val="annotation reference"/>
    <w:basedOn w:val="a0"/>
    <w:uiPriority w:val="99"/>
    <w:semiHidden/>
    <w:unhideWhenUsed/>
    <w:rsid w:val="00346705"/>
    <w:rPr>
      <w:sz w:val="18"/>
      <w:szCs w:val="18"/>
    </w:rPr>
  </w:style>
  <w:style w:type="paragraph" w:styleId="aa">
    <w:name w:val="annotation text"/>
    <w:basedOn w:val="a"/>
    <w:link w:val="ab"/>
    <w:uiPriority w:val="99"/>
    <w:semiHidden/>
    <w:unhideWhenUsed/>
    <w:rsid w:val="00346705"/>
    <w:pPr>
      <w:jc w:val="left"/>
    </w:pPr>
  </w:style>
  <w:style w:type="character" w:customStyle="1" w:styleId="ab">
    <w:name w:val="コメント文字列 (文字)"/>
    <w:basedOn w:val="a0"/>
    <w:link w:val="aa"/>
    <w:uiPriority w:val="99"/>
    <w:semiHidden/>
    <w:rsid w:val="00346705"/>
  </w:style>
  <w:style w:type="paragraph" w:styleId="ac">
    <w:name w:val="annotation subject"/>
    <w:basedOn w:val="aa"/>
    <w:next w:val="aa"/>
    <w:link w:val="ad"/>
    <w:uiPriority w:val="99"/>
    <w:semiHidden/>
    <w:unhideWhenUsed/>
    <w:rsid w:val="00346705"/>
    <w:rPr>
      <w:b/>
      <w:bCs/>
    </w:rPr>
  </w:style>
  <w:style w:type="character" w:customStyle="1" w:styleId="ad">
    <w:name w:val="コメント内容 (文字)"/>
    <w:basedOn w:val="ab"/>
    <w:link w:val="ac"/>
    <w:uiPriority w:val="99"/>
    <w:semiHidden/>
    <w:rsid w:val="00346705"/>
    <w:rPr>
      <w:b/>
      <w:bCs/>
    </w:rPr>
  </w:style>
  <w:style w:type="table" w:styleId="ae">
    <w:name w:val="Table Grid"/>
    <w:basedOn w:val="a1"/>
    <w:uiPriority w:val="39"/>
    <w:rsid w:val="004E46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47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268</Words>
  <Characters>1530</Characters>
  <Application>Microsoft Office Word</Application>
  <DocSecurity>0</DocSecurity>
  <Lines>12</Lines>
  <Paragraphs>3</Paragraphs>
  <ScaleCrop>false</ScaleCrop>
  <Company/>
  <LinksUpToDate>false</LinksUpToDate>
  <CharactersWithSpaces>1795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2019-11-25T01:45:00Z</dcterms:created>
  <dcterms:modified xsi:type="dcterms:W3CDTF">2019-11-25T01:45:00Z</dcterms:modified>
</cp:coreProperties>
</file>