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15" w:rsidRPr="00401FDC" w:rsidRDefault="00401FDC" w:rsidP="000655A3">
      <w:pPr>
        <w:jc w:val="center"/>
        <w:rPr>
          <w:rFonts w:asciiTheme="majorEastAsia" w:eastAsiaTheme="majorEastAsia" w:hAnsiTheme="majorEastAsia"/>
          <w:b/>
          <w:sz w:val="24"/>
          <w:szCs w:val="24"/>
        </w:rPr>
      </w:pPr>
      <w:r w:rsidRPr="00401FDC">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14:anchorId="5E4B2447" wp14:editId="03BB93A9">
                <wp:simplePos x="0" y="0"/>
                <wp:positionH relativeFrom="column">
                  <wp:posOffset>5019675</wp:posOffset>
                </wp:positionH>
                <wp:positionV relativeFrom="paragraph">
                  <wp:posOffset>-520602</wp:posOffset>
                </wp:positionV>
                <wp:extent cx="1170305" cy="358140"/>
                <wp:effectExtent l="0" t="0" r="10795" b="22860"/>
                <wp:wrapNone/>
                <wp:docPr id="10" name="正方形/長方形 10"/>
                <wp:cNvGraphicFramePr/>
                <a:graphic xmlns:a="http://schemas.openxmlformats.org/drawingml/2006/main">
                  <a:graphicData uri="http://schemas.microsoft.com/office/word/2010/wordprocessingShape">
                    <wps:wsp>
                      <wps:cNvSpPr/>
                      <wps:spPr>
                        <a:xfrm>
                          <a:off x="0" y="0"/>
                          <a:ext cx="1170305" cy="3581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38A1" w:rsidRPr="00E038A1" w:rsidRDefault="00E038A1" w:rsidP="00E038A1">
                            <w:pPr>
                              <w:jc w:val="center"/>
                              <w:rPr>
                                <w:rFonts w:asciiTheme="majorEastAsia" w:eastAsiaTheme="majorEastAsia" w:hAnsiTheme="majorEastAsia"/>
                                <w:color w:val="000000" w:themeColor="text1"/>
                                <w:sz w:val="24"/>
                                <w:szCs w:val="24"/>
                              </w:rPr>
                            </w:pPr>
                            <w:r w:rsidRPr="00E038A1">
                              <w:rPr>
                                <w:rFonts w:asciiTheme="majorEastAsia" w:eastAsiaTheme="majorEastAsia" w:hAnsiTheme="majorEastAsia" w:hint="eastAsia"/>
                                <w:color w:val="000000" w:themeColor="text1"/>
                                <w:sz w:val="24"/>
                                <w:szCs w:val="24"/>
                              </w:rPr>
                              <w:t>資料　１</w:t>
                            </w:r>
                            <w:r w:rsidR="0086426C">
                              <w:rPr>
                                <w:rFonts w:asciiTheme="majorEastAsia" w:eastAsiaTheme="majorEastAsia" w:hAnsiTheme="majorEastAsia" w:hint="eastAsia"/>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395.25pt;margin-top:-41pt;width:92.1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" filled="f" strokecolor="black [3213]">
                <v:textbox>
                  <w:txbxContent>
                    <w:p w:rsidR="00E038A1" w:rsidRPr="00E038A1" w:rsidRDefault="00E038A1" w:rsidP="00E038A1">
                      <w:pPr>
                        <w:jc w:val="center"/>
                        <w:rPr>
                          <w:rFonts w:asciiTheme="majorEastAsia" w:eastAsiaTheme="majorEastAsia" w:hAnsiTheme="majorEastAsia"/>
                          <w:color w:val="000000" w:themeColor="text1"/>
                          <w:sz w:val="24"/>
                          <w:szCs w:val="24"/>
                        </w:rPr>
                      </w:pPr>
                      <w:r w:rsidRPr="00E038A1">
                        <w:rPr>
                          <w:rFonts w:asciiTheme="majorEastAsia" w:eastAsiaTheme="majorEastAsia" w:hAnsiTheme="majorEastAsia" w:hint="eastAsia"/>
                          <w:color w:val="000000" w:themeColor="text1"/>
                          <w:sz w:val="24"/>
                          <w:szCs w:val="24"/>
                        </w:rPr>
                        <w:t>資料　１</w:t>
                      </w:r>
                      <w:r w:rsidR="0086426C">
                        <w:rPr>
                          <w:rFonts w:asciiTheme="majorEastAsia" w:eastAsiaTheme="majorEastAsia" w:hAnsiTheme="majorEastAsia" w:hint="eastAsia"/>
                          <w:color w:val="000000" w:themeColor="text1"/>
                          <w:sz w:val="24"/>
                          <w:szCs w:val="24"/>
                        </w:rPr>
                        <w:t>－１</w:t>
                      </w:r>
                    </w:p>
                  </w:txbxContent>
                </v:textbox>
              </v:rect>
            </w:pict>
          </mc:Fallback>
        </mc:AlternateContent>
      </w:r>
      <w:r w:rsidRPr="00401FDC">
        <w:rPr>
          <w:rFonts w:asciiTheme="majorEastAsia" w:eastAsiaTheme="majorEastAsia" w:hAnsiTheme="majorEastAsia" w:hint="eastAsia"/>
          <w:b/>
          <w:sz w:val="28"/>
          <w:szCs w:val="28"/>
        </w:rPr>
        <w:t>国の動き</w:t>
      </w:r>
      <w:r w:rsidR="000655A3">
        <w:rPr>
          <w:rFonts w:asciiTheme="majorEastAsia" w:eastAsiaTheme="majorEastAsia" w:hAnsiTheme="majorEastAsia" w:hint="eastAsia"/>
          <w:b/>
          <w:sz w:val="28"/>
          <w:szCs w:val="28"/>
        </w:rPr>
        <w:t xml:space="preserve">　</w:t>
      </w:r>
      <w:r w:rsidR="000655A3" w:rsidRPr="000655A3">
        <w:rPr>
          <w:rFonts w:asciiTheme="majorEastAsia" w:eastAsiaTheme="majorEastAsia" w:hAnsiTheme="majorEastAsia" w:hint="eastAsia"/>
          <w:b/>
          <w:sz w:val="28"/>
          <w:szCs w:val="28"/>
        </w:rPr>
        <w:t>～</w:t>
      </w:r>
      <w:r w:rsidR="008B39AB" w:rsidRPr="000655A3">
        <w:rPr>
          <w:rFonts w:asciiTheme="majorEastAsia" w:eastAsiaTheme="majorEastAsia" w:hAnsiTheme="majorEastAsia" w:hint="eastAsia"/>
          <w:b/>
          <w:sz w:val="28"/>
          <w:szCs w:val="28"/>
        </w:rPr>
        <w:t>業務・家庭部門における国の施策について</w:t>
      </w:r>
      <w:r w:rsidR="000655A3" w:rsidRPr="000655A3">
        <w:rPr>
          <w:rFonts w:asciiTheme="majorEastAsia" w:eastAsiaTheme="majorEastAsia" w:hAnsiTheme="majorEastAsia" w:hint="eastAsia"/>
          <w:b/>
          <w:sz w:val="28"/>
          <w:szCs w:val="28"/>
        </w:rPr>
        <w:t>～</w:t>
      </w:r>
    </w:p>
    <w:p w:rsidR="00CE5ACD" w:rsidRPr="00CE5ACD" w:rsidRDefault="00CE5ACD" w:rsidP="000655A3">
      <w:pPr>
        <w:spacing w:beforeLines="100" w:before="360"/>
        <w:rPr>
          <w:b/>
          <w:sz w:val="24"/>
          <w:szCs w:val="24"/>
        </w:rPr>
      </w:pPr>
      <w:r w:rsidRPr="00CE5ACD">
        <w:rPr>
          <w:rFonts w:hint="eastAsia"/>
          <w:b/>
          <w:sz w:val="24"/>
          <w:szCs w:val="24"/>
        </w:rPr>
        <w:t>１．パリ協定を踏まえた</w:t>
      </w:r>
      <w:r w:rsidR="002846DF" w:rsidRPr="002846DF">
        <w:rPr>
          <w:rFonts w:hint="eastAsia"/>
          <w:b/>
          <w:sz w:val="24"/>
          <w:szCs w:val="24"/>
        </w:rPr>
        <w:t>地球温暖化対策計画</w:t>
      </w:r>
      <w:r w:rsidRPr="00CE5ACD">
        <w:rPr>
          <w:rFonts w:hint="eastAsia"/>
          <w:b/>
          <w:sz w:val="24"/>
          <w:szCs w:val="24"/>
        </w:rPr>
        <w:t>について</w:t>
      </w:r>
    </w:p>
    <w:p w:rsidR="00FE1FE4" w:rsidRDefault="00FE1FE4" w:rsidP="00756E11">
      <w:pPr>
        <w:ind w:firstLineChars="100" w:firstLine="210"/>
      </w:pPr>
      <w:r>
        <w:rPr>
          <w:rFonts w:hint="eastAsia"/>
        </w:rPr>
        <w:t>COP21</w:t>
      </w:r>
      <w:r>
        <w:rPr>
          <w:rFonts w:hint="eastAsia"/>
        </w:rPr>
        <w:t>で採択されたパリ協定や昨年７月に国連に提出した「日本の約束草案」を踏まえ、</w:t>
      </w:r>
      <w:r w:rsidR="00756E11">
        <w:rPr>
          <w:rFonts w:hint="eastAsia"/>
        </w:rPr>
        <w:t>地球温暖化対策の推進に関する法律（平成</w:t>
      </w:r>
      <w:r w:rsidR="00756E11">
        <w:rPr>
          <w:rFonts w:hint="eastAsia"/>
        </w:rPr>
        <w:t>10</w:t>
      </w:r>
      <w:r w:rsidR="00756E11">
        <w:rPr>
          <w:rFonts w:hint="eastAsia"/>
        </w:rPr>
        <w:t>年</w:t>
      </w:r>
      <w:r w:rsidR="00756E11">
        <w:rPr>
          <w:rFonts w:hint="eastAsia"/>
        </w:rPr>
        <w:t>10</w:t>
      </w:r>
      <w:r w:rsidR="00756E11">
        <w:rPr>
          <w:rFonts w:hint="eastAsia"/>
        </w:rPr>
        <w:t>月</w:t>
      </w:r>
      <w:r w:rsidR="00756E11">
        <w:rPr>
          <w:rFonts w:hint="eastAsia"/>
        </w:rPr>
        <w:t>9</w:t>
      </w:r>
      <w:r w:rsidR="00756E11">
        <w:rPr>
          <w:rFonts w:hint="eastAsia"/>
        </w:rPr>
        <w:t>日法律第</w:t>
      </w:r>
      <w:r w:rsidR="00756E11">
        <w:rPr>
          <w:rFonts w:hint="eastAsia"/>
        </w:rPr>
        <w:t>117</w:t>
      </w:r>
      <w:r w:rsidR="00756E11">
        <w:rPr>
          <w:rFonts w:hint="eastAsia"/>
        </w:rPr>
        <w:t>号）第８条に基づき、</w:t>
      </w:r>
      <w:r>
        <w:rPr>
          <w:rFonts w:hint="eastAsia"/>
        </w:rPr>
        <w:t>我が国の地球温暖化対策を総合的かつ</w:t>
      </w:r>
      <w:r w:rsidR="00756E11">
        <w:rPr>
          <w:rFonts w:hint="eastAsia"/>
        </w:rPr>
        <w:t>計画的に推進するための計画である「地球温暖化対策計画」が</w:t>
      </w:r>
      <w:r w:rsidR="00756E11" w:rsidRPr="00756E11">
        <w:rPr>
          <w:rFonts w:hint="eastAsia"/>
        </w:rPr>
        <w:t>2016</w:t>
      </w:r>
      <w:r w:rsidR="00756E11" w:rsidRPr="00756E11">
        <w:rPr>
          <w:rFonts w:hint="eastAsia"/>
        </w:rPr>
        <w:t>年</w:t>
      </w:r>
      <w:r w:rsidR="00756E11" w:rsidRPr="00756E11">
        <w:rPr>
          <w:rFonts w:hint="eastAsia"/>
        </w:rPr>
        <w:t>5</w:t>
      </w:r>
      <w:r w:rsidR="00756E11" w:rsidRPr="00756E11">
        <w:rPr>
          <w:rFonts w:hint="eastAsia"/>
        </w:rPr>
        <w:t>月</w:t>
      </w:r>
      <w:r w:rsidR="00756E11">
        <w:rPr>
          <w:rFonts w:hint="eastAsia"/>
        </w:rPr>
        <w:t>に策定</w:t>
      </w:r>
      <w:r>
        <w:rPr>
          <w:rFonts w:hint="eastAsia"/>
        </w:rPr>
        <w:t>されている。</w:t>
      </w:r>
    </w:p>
    <w:p w:rsidR="00810FC1" w:rsidRDefault="00FE1FE4" w:rsidP="00FE1FE4">
      <w:pPr>
        <w:ind w:firstLineChars="100" w:firstLine="210"/>
      </w:pPr>
      <w:r>
        <w:rPr>
          <w:rFonts w:hint="eastAsia"/>
        </w:rPr>
        <w:t>この計画は、</w:t>
      </w:r>
      <w:r>
        <w:rPr>
          <w:rFonts w:hint="eastAsia"/>
        </w:rPr>
        <w:t>2030</w:t>
      </w:r>
      <w:r>
        <w:rPr>
          <w:rFonts w:hint="eastAsia"/>
        </w:rPr>
        <w:t>年度に</w:t>
      </w:r>
      <w:r>
        <w:rPr>
          <w:rFonts w:hint="eastAsia"/>
        </w:rPr>
        <w:t>2013</w:t>
      </w:r>
      <w:r>
        <w:rPr>
          <w:rFonts w:hint="eastAsia"/>
        </w:rPr>
        <w:t>年度比で</w:t>
      </w:r>
      <w:r>
        <w:rPr>
          <w:rFonts w:hint="eastAsia"/>
        </w:rPr>
        <w:t>26</w:t>
      </w:r>
      <w:r>
        <w:rPr>
          <w:rFonts w:hint="eastAsia"/>
        </w:rPr>
        <w:t>％削減するとの中期目標について、各主体が取り組むべき対策や国の施策を明らかにし、削減目標達成への道筋を付けるとともに、長期的目標として</w:t>
      </w:r>
      <w:r>
        <w:rPr>
          <w:rFonts w:hint="eastAsia"/>
        </w:rPr>
        <w:t>2050</w:t>
      </w:r>
      <w:r>
        <w:rPr>
          <w:rFonts w:hint="eastAsia"/>
        </w:rPr>
        <w:t>年までに</w:t>
      </w:r>
      <w:r>
        <w:rPr>
          <w:rFonts w:hint="eastAsia"/>
        </w:rPr>
        <w:t>80</w:t>
      </w:r>
      <w:r>
        <w:rPr>
          <w:rFonts w:hint="eastAsia"/>
        </w:rPr>
        <w:t>％の温室効果ガスの排出削減を目指すことを位置付けており、我が国が地球温暖化対策を進めていく上での礎となっている。</w:t>
      </w:r>
    </w:p>
    <w:p w:rsidR="00810FC1" w:rsidRDefault="00014F0B" w:rsidP="00810FC1">
      <w:pPr>
        <w:ind w:firstLineChars="100" w:firstLine="210"/>
      </w:pPr>
      <w:r>
        <w:rPr>
          <w:rFonts w:hint="eastAsia"/>
        </w:rPr>
        <w:t>日本全国の温室効果ガス排出量の９割を占めるエネルギー起源二酸化炭素の排出量について、</w:t>
      </w:r>
      <w:r>
        <w:rPr>
          <w:rFonts w:hint="eastAsia"/>
        </w:rPr>
        <w:t>2013</w:t>
      </w:r>
      <w:r>
        <w:rPr>
          <w:rFonts w:hint="eastAsia"/>
        </w:rPr>
        <w:t>年度比▲</w:t>
      </w:r>
      <w:r>
        <w:rPr>
          <w:rFonts w:hint="eastAsia"/>
        </w:rPr>
        <w:t>25.0%</w:t>
      </w:r>
      <w:r>
        <w:rPr>
          <w:rFonts w:hint="eastAsia"/>
        </w:rPr>
        <w:t>（</w:t>
      </w:r>
      <w:r>
        <w:rPr>
          <w:rFonts w:hint="eastAsia"/>
        </w:rPr>
        <w:t>2005</w:t>
      </w:r>
      <w:r>
        <w:rPr>
          <w:rFonts w:hint="eastAsia"/>
        </w:rPr>
        <w:t>年度比▲</w:t>
      </w:r>
      <w:r>
        <w:rPr>
          <w:rFonts w:hint="eastAsia"/>
        </w:rPr>
        <w:t>24.0</w:t>
      </w:r>
      <w:r>
        <w:rPr>
          <w:rFonts w:hint="eastAsia"/>
        </w:rPr>
        <w:t>％）の水準（約９億</w:t>
      </w:r>
      <w:r>
        <w:rPr>
          <w:rFonts w:hint="eastAsia"/>
        </w:rPr>
        <w:t>2,700</w:t>
      </w:r>
      <w:r>
        <w:rPr>
          <w:rFonts w:hint="eastAsia"/>
        </w:rPr>
        <w:t>万</w:t>
      </w:r>
      <w:r>
        <w:rPr>
          <w:rFonts w:hint="eastAsia"/>
        </w:rPr>
        <w:t>t-</w:t>
      </w:r>
      <w:r>
        <w:rPr>
          <w:rFonts w:hint="eastAsia"/>
        </w:rPr>
        <w:t>ＣＯ２）であり、各部門における</w:t>
      </w:r>
      <w:r>
        <w:rPr>
          <w:rFonts w:hint="eastAsia"/>
        </w:rPr>
        <w:t>2030</w:t>
      </w:r>
      <w:r>
        <w:rPr>
          <w:rFonts w:hint="eastAsia"/>
        </w:rPr>
        <w:t>年度の排出量の目安は、</w:t>
      </w:r>
      <w:r w:rsidR="00D33FA5">
        <w:fldChar w:fldCharType="begin"/>
      </w:r>
      <w:r w:rsidR="00D33FA5">
        <w:instrText xml:space="preserve"> </w:instrText>
      </w:r>
      <w:r w:rsidR="00D33FA5">
        <w:rPr>
          <w:rFonts w:hint="eastAsia"/>
        </w:rPr>
        <w:instrText>REF _Ref455064728</w:instrText>
      </w:r>
      <w:r w:rsidR="00D33FA5">
        <w:instrText xml:space="preserve"> </w:instrText>
      </w:r>
      <w:r w:rsidR="00D33FA5">
        <w:fldChar w:fldCharType="separate"/>
      </w:r>
      <w:r w:rsidR="00564B67">
        <w:rPr>
          <w:rFonts w:hint="eastAsia"/>
        </w:rPr>
        <w:t>表</w:t>
      </w:r>
      <w:r w:rsidR="00564B67">
        <w:rPr>
          <w:rFonts w:hint="eastAsia"/>
        </w:rPr>
        <w:t xml:space="preserve"> </w:t>
      </w:r>
      <w:r w:rsidR="00564B67">
        <w:rPr>
          <w:noProof/>
        </w:rPr>
        <w:t>1</w:t>
      </w:r>
      <w:r w:rsidR="00D33FA5">
        <w:fldChar w:fldCharType="end"/>
      </w:r>
      <w:r>
        <w:rPr>
          <w:rFonts w:hint="eastAsia"/>
        </w:rPr>
        <w:t>のとおりであ</w:t>
      </w:r>
      <w:r w:rsidR="00077A9C">
        <w:rPr>
          <w:rFonts w:hint="eastAsia"/>
        </w:rPr>
        <w:t>り、その根拠の抜粋は表</w:t>
      </w:r>
      <w:r w:rsidR="00077A9C">
        <w:rPr>
          <w:rFonts w:hint="eastAsia"/>
        </w:rPr>
        <w:t xml:space="preserve"> 2</w:t>
      </w:r>
      <w:r w:rsidR="00077A9C">
        <w:rPr>
          <w:rFonts w:hint="eastAsia"/>
        </w:rPr>
        <w:t>のとおりであ</w:t>
      </w:r>
      <w:r>
        <w:rPr>
          <w:rFonts w:hint="eastAsia"/>
        </w:rPr>
        <w:t>る。</w:t>
      </w:r>
    </w:p>
    <w:p w:rsidR="00A6219B" w:rsidRDefault="00A6219B" w:rsidP="00810FC1">
      <w:pPr>
        <w:ind w:firstLineChars="100" w:firstLine="210"/>
      </w:pPr>
      <w:r>
        <w:rPr>
          <w:rFonts w:hint="eastAsia"/>
        </w:rPr>
        <w:t>ビルや住宅などの建築物におけるエネルギー消費に関わる「業務その他部門」と「家庭部門」の削減目標は、それぞれ</w:t>
      </w:r>
      <w:r>
        <w:rPr>
          <w:rFonts w:hint="eastAsia"/>
        </w:rPr>
        <w:t>2030</w:t>
      </w:r>
      <w:r>
        <w:rPr>
          <w:rFonts w:hint="eastAsia"/>
        </w:rPr>
        <w:t>年度に</w:t>
      </w:r>
      <w:r>
        <w:rPr>
          <w:rFonts w:hint="eastAsia"/>
        </w:rPr>
        <w:t>2013</w:t>
      </w:r>
      <w:r>
        <w:rPr>
          <w:rFonts w:hint="eastAsia"/>
        </w:rPr>
        <w:t>年度比約</w:t>
      </w:r>
      <w:r>
        <w:rPr>
          <w:rFonts w:hint="eastAsia"/>
        </w:rPr>
        <w:t>40</w:t>
      </w:r>
      <w:r>
        <w:rPr>
          <w:rFonts w:hint="eastAsia"/>
        </w:rPr>
        <w:t>％削減することとなっている。</w:t>
      </w:r>
    </w:p>
    <w:p w:rsidR="00D33FA5" w:rsidRDefault="00D33FA5" w:rsidP="00D33FA5">
      <w:pPr>
        <w:pStyle w:val="a9"/>
        <w:spacing w:beforeLines="100" w:before="360"/>
        <w:jc w:val="center"/>
      </w:pPr>
      <w:bookmarkStart w:id="0" w:name="_Ref45506472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564B67">
        <w:rPr>
          <w:noProof/>
        </w:rPr>
        <w:t>1</w:t>
      </w:r>
      <w:r>
        <w:fldChar w:fldCharType="end"/>
      </w:r>
      <w:bookmarkEnd w:id="0"/>
      <w:r>
        <w:rPr>
          <w:rFonts w:hint="eastAsia"/>
        </w:rPr>
        <w:t xml:space="preserve">　</w:t>
      </w:r>
      <w:r w:rsidRPr="00014F0B">
        <w:rPr>
          <w:rFonts w:hint="eastAsia"/>
        </w:rPr>
        <w:t>エネルギー起源二酸化炭素の各部門の排出量の目安</w:t>
      </w:r>
    </w:p>
    <w:p w:rsidR="00A6219B" w:rsidRDefault="00963A16" w:rsidP="00D33FA5">
      <w:pPr>
        <w:pStyle w:val="a9"/>
        <w:jc w:val="right"/>
      </w:pPr>
      <w:r w:rsidRPr="00963A16">
        <w:rPr>
          <w:rFonts w:hint="eastAsia"/>
        </w:rPr>
        <w:t>［単位：百万</w:t>
      </w:r>
      <w:r w:rsidRPr="00963A16">
        <w:rPr>
          <w:rFonts w:hint="eastAsia"/>
        </w:rPr>
        <w:t>t-</w:t>
      </w:r>
      <w:r w:rsidRPr="00963A16">
        <w:rPr>
          <w:rFonts w:hint="eastAsia"/>
        </w:rPr>
        <w:t>ＣＯ</w:t>
      </w:r>
      <w:r w:rsidRPr="00963A16">
        <w:rPr>
          <w:rFonts w:hint="eastAsia"/>
          <w:vertAlign w:val="subscript"/>
        </w:rPr>
        <w:t>２</w:t>
      </w:r>
      <w:r w:rsidRPr="00963A16">
        <w:rPr>
          <w:rFonts w:hint="eastAsia"/>
        </w:rPr>
        <w:t>］</w:t>
      </w:r>
    </w:p>
    <w:tbl>
      <w:tblPr>
        <w:tblStyle w:val="a8"/>
        <w:tblW w:w="0" w:type="auto"/>
        <w:tblLook w:val="04A0" w:firstRow="1" w:lastRow="0" w:firstColumn="1" w:lastColumn="0" w:noHBand="0" w:noVBand="1"/>
      </w:tblPr>
      <w:tblGrid>
        <w:gridCol w:w="392"/>
        <w:gridCol w:w="2126"/>
        <w:gridCol w:w="2268"/>
        <w:gridCol w:w="2682"/>
        <w:gridCol w:w="2476"/>
      </w:tblGrid>
      <w:tr w:rsidR="00963A16" w:rsidTr="00F64B72">
        <w:tc>
          <w:tcPr>
            <w:tcW w:w="2518" w:type="dxa"/>
            <w:gridSpan w:val="2"/>
            <w:tcBorders>
              <w:top w:val="single" w:sz="4" w:space="0" w:color="auto"/>
              <w:left w:val="single" w:sz="4" w:space="0" w:color="auto"/>
              <w:bottom w:val="single" w:sz="4" w:space="0" w:color="auto"/>
            </w:tcBorders>
            <w:vAlign w:val="center"/>
          </w:tcPr>
          <w:p w:rsidR="00963A16" w:rsidRDefault="00963A16" w:rsidP="00963A16">
            <w:pPr>
              <w:jc w:val="center"/>
            </w:pPr>
          </w:p>
        </w:tc>
        <w:tc>
          <w:tcPr>
            <w:tcW w:w="2268" w:type="dxa"/>
            <w:tcBorders>
              <w:top w:val="single" w:sz="4" w:space="0" w:color="auto"/>
              <w:bottom w:val="single" w:sz="4" w:space="0" w:color="auto"/>
            </w:tcBorders>
            <w:vAlign w:val="center"/>
          </w:tcPr>
          <w:p w:rsidR="00963A16" w:rsidRDefault="00963A16" w:rsidP="00963A16">
            <w:pPr>
              <w:jc w:val="center"/>
            </w:pPr>
            <w:r>
              <w:rPr>
                <w:rFonts w:hint="eastAsia"/>
              </w:rPr>
              <w:t>2030</w:t>
            </w:r>
            <w:r>
              <w:rPr>
                <w:rFonts w:hint="eastAsia"/>
              </w:rPr>
              <w:t>年度の各部門の排出量の目安</w:t>
            </w:r>
          </w:p>
        </w:tc>
        <w:tc>
          <w:tcPr>
            <w:tcW w:w="2682" w:type="dxa"/>
            <w:tcBorders>
              <w:top w:val="single" w:sz="4" w:space="0" w:color="auto"/>
            </w:tcBorders>
            <w:vAlign w:val="center"/>
          </w:tcPr>
          <w:p w:rsidR="00963A16" w:rsidRDefault="00963A16" w:rsidP="00963A16">
            <w:pPr>
              <w:jc w:val="center"/>
            </w:pPr>
            <w:r w:rsidRPr="00A6219B">
              <w:rPr>
                <w:rFonts w:hint="eastAsia"/>
              </w:rPr>
              <w:t>2013</w:t>
            </w:r>
            <w:r w:rsidRPr="00A6219B">
              <w:rPr>
                <w:rFonts w:hint="eastAsia"/>
              </w:rPr>
              <w:t>年度</w:t>
            </w:r>
          </w:p>
        </w:tc>
        <w:tc>
          <w:tcPr>
            <w:tcW w:w="2476" w:type="dxa"/>
            <w:tcBorders>
              <w:top w:val="single" w:sz="4" w:space="0" w:color="auto"/>
              <w:right w:val="single" w:sz="4" w:space="0" w:color="auto"/>
            </w:tcBorders>
            <w:vAlign w:val="center"/>
          </w:tcPr>
          <w:p w:rsidR="00963A16" w:rsidRDefault="00963A16" w:rsidP="00963A16">
            <w:pPr>
              <w:jc w:val="center"/>
            </w:pPr>
            <w:r w:rsidRPr="00A6219B">
              <w:rPr>
                <w:rFonts w:hint="eastAsia"/>
              </w:rPr>
              <w:t>2005</w:t>
            </w:r>
            <w:r>
              <w:rPr>
                <w:rFonts w:hint="eastAsia"/>
              </w:rPr>
              <w:t>年度</w:t>
            </w:r>
          </w:p>
        </w:tc>
      </w:tr>
      <w:tr w:rsidR="00F64B72" w:rsidTr="00F64B72">
        <w:trPr>
          <w:trHeight w:val="385"/>
        </w:trPr>
        <w:tc>
          <w:tcPr>
            <w:tcW w:w="2518" w:type="dxa"/>
            <w:gridSpan w:val="2"/>
            <w:vMerge w:val="restart"/>
            <w:tcBorders>
              <w:top w:val="single" w:sz="4" w:space="0" w:color="auto"/>
              <w:left w:val="single" w:sz="4" w:space="0" w:color="auto"/>
              <w:right w:val="single" w:sz="4" w:space="0" w:color="auto"/>
            </w:tcBorders>
            <w:vAlign w:val="center"/>
          </w:tcPr>
          <w:p w:rsidR="00F64B72" w:rsidRDefault="00F64B72" w:rsidP="00474694">
            <w:r w:rsidRPr="00963A16">
              <w:rPr>
                <w:rFonts w:hint="eastAsia"/>
              </w:rPr>
              <w:t>エネルギー起源ＣＯ</w:t>
            </w:r>
            <w:r w:rsidRPr="00963A16">
              <w:rPr>
                <w:rFonts w:hint="eastAsia"/>
                <w:vertAlign w:val="subscript"/>
              </w:rPr>
              <w:t>２</w:t>
            </w:r>
          </w:p>
        </w:tc>
        <w:tc>
          <w:tcPr>
            <w:tcW w:w="2268" w:type="dxa"/>
            <w:tcBorders>
              <w:left w:val="single" w:sz="4" w:space="0" w:color="auto"/>
              <w:bottom w:val="dotted" w:sz="2" w:space="0" w:color="auto"/>
            </w:tcBorders>
            <w:vAlign w:val="center"/>
          </w:tcPr>
          <w:p w:rsidR="00F64B72" w:rsidRDefault="00F64B72" w:rsidP="00474694">
            <w:pPr>
              <w:ind w:rightChars="100" w:right="210"/>
              <w:jc w:val="right"/>
            </w:pPr>
            <w:r>
              <w:t>927</w:t>
            </w:r>
          </w:p>
        </w:tc>
        <w:tc>
          <w:tcPr>
            <w:tcW w:w="2682" w:type="dxa"/>
            <w:tcBorders>
              <w:bottom w:val="dotted" w:sz="2" w:space="0" w:color="auto"/>
            </w:tcBorders>
            <w:vAlign w:val="center"/>
          </w:tcPr>
          <w:p w:rsidR="00F64B72" w:rsidRDefault="00F64B72" w:rsidP="00474694">
            <w:pPr>
              <w:ind w:rightChars="100" w:right="210"/>
              <w:jc w:val="right"/>
            </w:pPr>
            <w:r w:rsidRPr="00474694">
              <w:t>1,235</w:t>
            </w:r>
            <w:r>
              <w:rPr>
                <w:rFonts w:hint="eastAsia"/>
              </w:rPr>
              <w:t>（▲</w:t>
            </w:r>
            <w:r>
              <w:rPr>
                <w:rFonts w:hint="eastAsia"/>
              </w:rPr>
              <w:t>308</w:t>
            </w:r>
            <w:r>
              <w:rPr>
                <w:rFonts w:hint="eastAsia"/>
              </w:rPr>
              <w:t>）</w:t>
            </w:r>
          </w:p>
        </w:tc>
        <w:tc>
          <w:tcPr>
            <w:tcW w:w="2476" w:type="dxa"/>
            <w:tcBorders>
              <w:bottom w:val="dotted" w:sz="2" w:space="0" w:color="auto"/>
              <w:right w:val="single" w:sz="4" w:space="0" w:color="auto"/>
            </w:tcBorders>
            <w:vAlign w:val="center"/>
          </w:tcPr>
          <w:p w:rsidR="00F64B72" w:rsidRDefault="00F64B72" w:rsidP="00474694">
            <w:pPr>
              <w:ind w:rightChars="100" w:right="210"/>
              <w:jc w:val="right"/>
            </w:pPr>
            <w:r w:rsidRPr="00474694">
              <w:t>1,219</w:t>
            </w:r>
            <w:r>
              <w:rPr>
                <w:rFonts w:hint="eastAsia"/>
              </w:rPr>
              <w:t>（▲</w:t>
            </w:r>
            <w:r w:rsidRPr="00885697">
              <w:t>292</w:t>
            </w:r>
            <w:r>
              <w:rPr>
                <w:rFonts w:hint="eastAsia"/>
              </w:rPr>
              <w:t>）</w:t>
            </w:r>
          </w:p>
        </w:tc>
      </w:tr>
      <w:tr w:rsidR="00F64B72" w:rsidTr="00F64B72">
        <w:trPr>
          <w:trHeight w:val="335"/>
        </w:trPr>
        <w:tc>
          <w:tcPr>
            <w:tcW w:w="2518" w:type="dxa"/>
            <w:gridSpan w:val="2"/>
            <w:vMerge/>
            <w:tcBorders>
              <w:left w:val="single" w:sz="4" w:space="0" w:color="auto"/>
              <w:bottom w:val="nil"/>
              <w:right w:val="single" w:sz="4" w:space="0" w:color="auto"/>
            </w:tcBorders>
            <w:vAlign w:val="center"/>
          </w:tcPr>
          <w:p w:rsidR="00F64B72" w:rsidRPr="00963A16" w:rsidRDefault="00F64B72" w:rsidP="00474694"/>
        </w:tc>
        <w:tc>
          <w:tcPr>
            <w:tcW w:w="2268" w:type="dxa"/>
            <w:tcBorders>
              <w:top w:val="dotted" w:sz="2" w:space="0" w:color="auto"/>
              <w:left w:val="single" w:sz="4" w:space="0" w:color="auto"/>
            </w:tcBorders>
            <w:vAlign w:val="center"/>
          </w:tcPr>
          <w:p w:rsidR="00F64B72" w:rsidRDefault="00F64B72" w:rsidP="00474694">
            <w:pPr>
              <w:ind w:rightChars="100" w:right="210"/>
              <w:jc w:val="right"/>
            </w:pPr>
          </w:p>
        </w:tc>
        <w:tc>
          <w:tcPr>
            <w:tcW w:w="2682" w:type="dxa"/>
            <w:tcBorders>
              <w:top w:val="dotted" w:sz="2" w:space="0" w:color="auto"/>
            </w:tcBorders>
            <w:vAlign w:val="center"/>
          </w:tcPr>
          <w:p w:rsidR="00F64B72" w:rsidRPr="00474694" w:rsidRDefault="00F64B72" w:rsidP="00474694">
            <w:pPr>
              <w:ind w:rightChars="100" w:right="210"/>
              <w:jc w:val="right"/>
            </w:pPr>
            <w:r>
              <w:rPr>
                <w:rFonts w:hint="eastAsia"/>
              </w:rPr>
              <w:t>▲</w:t>
            </w:r>
            <w:r w:rsidR="009F3219">
              <w:t>2</w:t>
            </w:r>
            <w:r w:rsidR="009F3219">
              <w:rPr>
                <w:rFonts w:hint="eastAsia"/>
              </w:rPr>
              <w:t>5.0</w:t>
            </w:r>
            <w:r w:rsidRPr="00810FC1">
              <w:t>%</w:t>
            </w:r>
          </w:p>
        </w:tc>
        <w:tc>
          <w:tcPr>
            <w:tcW w:w="2476" w:type="dxa"/>
            <w:tcBorders>
              <w:top w:val="dotted" w:sz="2" w:space="0" w:color="auto"/>
              <w:right w:val="single" w:sz="4" w:space="0" w:color="auto"/>
            </w:tcBorders>
            <w:vAlign w:val="center"/>
          </w:tcPr>
          <w:p w:rsidR="00F64B72" w:rsidRPr="00474694" w:rsidRDefault="00F64B72" w:rsidP="00474694">
            <w:pPr>
              <w:ind w:rightChars="100" w:right="210"/>
              <w:jc w:val="right"/>
            </w:pPr>
            <w:r>
              <w:rPr>
                <w:rFonts w:hint="eastAsia"/>
              </w:rPr>
              <w:t>▲</w:t>
            </w:r>
            <w:r w:rsidRPr="00885697">
              <w:t>24.0%</w:t>
            </w:r>
          </w:p>
        </w:tc>
      </w:tr>
      <w:tr w:rsidR="00F64B72" w:rsidTr="00F64B72">
        <w:trPr>
          <w:trHeight w:val="368"/>
        </w:trPr>
        <w:tc>
          <w:tcPr>
            <w:tcW w:w="392" w:type="dxa"/>
            <w:vMerge w:val="restart"/>
            <w:tcBorders>
              <w:top w:val="nil"/>
              <w:left w:val="single" w:sz="4" w:space="0" w:color="auto"/>
              <w:right w:val="single" w:sz="4" w:space="0" w:color="auto"/>
            </w:tcBorders>
          </w:tcPr>
          <w:p w:rsidR="00F64B72" w:rsidRDefault="00F64B72" w:rsidP="00FE071A"/>
        </w:tc>
        <w:tc>
          <w:tcPr>
            <w:tcW w:w="2126" w:type="dxa"/>
            <w:vMerge w:val="restart"/>
            <w:tcBorders>
              <w:top w:val="single" w:sz="4" w:space="0" w:color="auto"/>
              <w:left w:val="single" w:sz="4" w:space="0" w:color="auto"/>
            </w:tcBorders>
            <w:vAlign w:val="center"/>
          </w:tcPr>
          <w:p w:rsidR="00F64B72" w:rsidRDefault="00F64B72" w:rsidP="00474694">
            <w:r w:rsidRPr="00963A16">
              <w:rPr>
                <w:rFonts w:hint="eastAsia"/>
              </w:rPr>
              <w:t>産業部門</w:t>
            </w:r>
          </w:p>
        </w:tc>
        <w:tc>
          <w:tcPr>
            <w:tcW w:w="2268" w:type="dxa"/>
            <w:tcBorders>
              <w:bottom w:val="dotted" w:sz="2" w:space="0" w:color="auto"/>
            </w:tcBorders>
            <w:vAlign w:val="center"/>
          </w:tcPr>
          <w:p w:rsidR="00F64B72" w:rsidRDefault="00F64B72" w:rsidP="00474694">
            <w:pPr>
              <w:ind w:rightChars="100" w:right="210"/>
              <w:jc w:val="right"/>
            </w:pPr>
            <w:r>
              <w:t>401</w:t>
            </w:r>
          </w:p>
        </w:tc>
        <w:tc>
          <w:tcPr>
            <w:tcW w:w="2682" w:type="dxa"/>
            <w:tcBorders>
              <w:bottom w:val="dotted" w:sz="2" w:space="0" w:color="auto"/>
            </w:tcBorders>
            <w:vAlign w:val="center"/>
          </w:tcPr>
          <w:p w:rsidR="00F64B72" w:rsidRDefault="00F64B72" w:rsidP="00474694">
            <w:pPr>
              <w:ind w:rightChars="100" w:right="210"/>
              <w:jc w:val="right"/>
            </w:pPr>
            <w:r w:rsidRPr="00474694">
              <w:t>429</w:t>
            </w:r>
            <w:r>
              <w:rPr>
                <w:rFonts w:hint="eastAsia"/>
              </w:rPr>
              <w:t>（▲</w:t>
            </w:r>
            <w:r w:rsidRPr="00474694">
              <w:t>28</w:t>
            </w:r>
            <w:r>
              <w:rPr>
                <w:rFonts w:hint="eastAsia"/>
              </w:rPr>
              <w:t>）</w:t>
            </w:r>
          </w:p>
        </w:tc>
        <w:tc>
          <w:tcPr>
            <w:tcW w:w="2476" w:type="dxa"/>
            <w:tcBorders>
              <w:bottom w:val="dotted" w:sz="2" w:space="0" w:color="auto"/>
              <w:right w:val="single" w:sz="4" w:space="0" w:color="auto"/>
            </w:tcBorders>
            <w:vAlign w:val="center"/>
          </w:tcPr>
          <w:p w:rsidR="00F64B72" w:rsidRDefault="00F64B72" w:rsidP="00474694">
            <w:pPr>
              <w:ind w:rightChars="100" w:right="210"/>
              <w:jc w:val="right"/>
            </w:pPr>
            <w:r w:rsidRPr="00474694">
              <w:t>457</w:t>
            </w:r>
            <w:r>
              <w:rPr>
                <w:rFonts w:hint="eastAsia"/>
              </w:rPr>
              <w:t>（▲</w:t>
            </w:r>
            <w:r w:rsidRPr="00885697">
              <w:t>56</w:t>
            </w:r>
            <w:r>
              <w:rPr>
                <w:rFonts w:hint="eastAsia"/>
              </w:rPr>
              <w:t>）</w:t>
            </w:r>
          </w:p>
        </w:tc>
      </w:tr>
      <w:tr w:rsidR="00F64B72" w:rsidTr="00F64B72">
        <w:trPr>
          <w:trHeight w:val="335"/>
        </w:trPr>
        <w:tc>
          <w:tcPr>
            <w:tcW w:w="392" w:type="dxa"/>
            <w:vMerge/>
            <w:tcBorders>
              <w:left w:val="single" w:sz="4" w:space="0" w:color="auto"/>
              <w:bottom w:val="nil"/>
              <w:right w:val="single" w:sz="4" w:space="0" w:color="auto"/>
            </w:tcBorders>
          </w:tcPr>
          <w:p w:rsidR="00F64B72" w:rsidRDefault="00F64B72" w:rsidP="00FE071A"/>
        </w:tc>
        <w:tc>
          <w:tcPr>
            <w:tcW w:w="2126" w:type="dxa"/>
            <w:vMerge/>
            <w:tcBorders>
              <w:left w:val="single" w:sz="4" w:space="0" w:color="auto"/>
              <w:bottom w:val="single" w:sz="24" w:space="0" w:color="auto"/>
            </w:tcBorders>
            <w:vAlign w:val="center"/>
          </w:tcPr>
          <w:p w:rsidR="00F64B72" w:rsidRPr="00963A16" w:rsidRDefault="00F64B72" w:rsidP="00474694"/>
        </w:tc>
        <w:tc>
          <w:tcPr>
            <w:tcW w:w="2268" w:type="dxa"/>
            <w:tcBorders>
              <w:top w:val="dotted" w:sz="2" w:space="0" w:color="auto"/>
              <w:bottom w:val="single" w:sz="24" w:space="0" w:color="auto"/>
            </w:tcBorders>
            <w:vAlign w:val="center"/>
          </w:tcPr>
          <w:p w:rsidR="00F64B72" w:rsidRDefault="00F64B72" w:rsidP="00474694">
            <w:pPr>
              <w:ind w:rightChars="100" w:right="210"/>
              <w:jc w:val="right"/>
            </w:pPr>
          </w:p>
        </w:tc>
        <w:tc>
          <w:tcPr>
            <w:tcW w:w="2682" w:type="dxa"/>
            <w:tcBorders>
              <w:top w:val="dotted" w:sz="2" w:space="0" w:color="auto"/>
              <w:bottom w:val="single" w:sz="24" w:space="0" w:color="auto"/>
            </w:tcBorders>
            <w:vAlign w:val="center"/>
          </w:tcPr>
          <w:p w:rsidR="00F64B72" w:rsidRPr="00474694" w:rsidRDefault="00F64B72" w:rsidP="00474694">
            <w:pPr>
              <w:ind w:rightChars="100" w:right="210"/>
              <w:jc w:val="right"/>
            </w:pPr>
            <w:r>
              <w:rPr>
                <w:rFonts w:hint="eastAsia"/>
              </w:rPr>
              <w:t>▲</w:t>
            </w:r>
            <w:r w:rsidRPr="00810FC1">
              <w:t>6.5%</w:t>
            </w:r>
          </w:p>
        </w:tc>
        <w:tc>
          <w:tcPr>
            <w:tcW w:w="2476" w:type="dxa"/>
            <w:tcBorders>
              <w:top w:val="dotted" w:sz="2" w:space="0" w:color="auto"/>
              <w:bottom w:val="single" w:sz="24" w:space="0" w:color="auto"/>
              <w:right w:val="single" w:sz="4" w:space="0" w:color="auto"/>
            </w:tcBorders>
            <w:vAlign w:val="center"/>
          </w:tcPr>
          <w:p w:rsidR="00F64B72" w:rsidRPr="00474694" w:rsidRDefault="00F64B72" w:rsidP="00474694">
            <w:pPr>
              <w:ind w:rightChars="100" w:right="210"/>
              <w:jc w:val="right"/>
            </w:pPr>
            <w:r>
              <w:rPr>
                <w:rFonts w:hint="eastAsia"/>
              </w:rPr>
              <w:t>▲</w:t>
            </w:r>
            <w:r w:rsidRPr="00885697">
              <w:t>12.3%</w:t>
            </w:r>
          </w:p>
        </w:tc>
      </w:tr>
      <w:tr w:rsidR="00F64B72" w:rsidTr="00F64B72">
        <w:trPr>
          <w:trHeight w:val="419"/>
        </w:trPr>
        <w:tc>
          <w:tcPr>
            <w:tcW w:w="392" w:type="dxa"/>
            <w:vMerge w:val="restart"/>
            <w:tcBorders>
              <w:top w:val="nil"/>
              <w:left w:val="single" w:sz="4" w:space="0" w:color="auto"/>
              <w:right w:val="single" w:sz="24" w:space="0" w:color="auto"/>
            </w:tcBorders>
          </w:tcPr>
          <w:p w:rsidR="00F64B72" w:rsidRDefault="00F64B72" w:rsidP="00FE071A"/>
        </w:tc>
        <w:tc>
          <w:tcPr>
            <w:tcW w:w="2126" w:type="dxa"/>
            <w:vMerge w:val="restart"/>
            <w:tcBorders>
              <w:top w:val="single" w:sz="24" w:space="0" w:color="auto"/>
              <w:left w:val="single" w:sz="24" w:space="0" w:color="auto"/>
            </w:tcBorders>
            <w:shd w:val="clear" w:color="auto" w:fill="FFFF00"/>
            <w:vAlign w:val="center"/>
          </w:tcPr>
          <w:p w:rsidR="00F64B72" w:rsidRDefault="00F64B72" w:rsidP="00474694">
            <w:r w:rsidRPr="00963A16">
              <w:rPr>
                <w:rFonts w:hint="eastAsia"/>
              </w:rPr>
              <w:t>業務その他部門</w:t>
            </w:r>
          </w:p>
        </w:tc>
        <w:tc>
          <w:tcPr>
            <w:tcW w:w="2268" w:type="dxa"/>
            <w:tcBorders>
              <w:top w:val="single" w:sz="24" w:space="0" w:color="auto"/>
              <w:bottom w:val="dotted" w:sz="2" w:space="0" w:color="auto"/>
            </w:tcBorders>
            <w:shd w:val="clear" w:color="auto" w:fill="FFFF00"/>
            <w:vAlign w:val="center"/>
          </w:tcPr>
          <w:p w:rsidR="00F64B72" w:rsidRDefault="00F64B72" w:rsidP="00474694">
            <w:pPr>
              <w:ind w:rightChars="100" w:right="210"/>
              <w:jc w:val="right"/>
            </w:pPr>
            <w:r>
              <w:t>168</w:t>
            </w:r>
          </w:p>
        </w:tc>
        <w:tc>
          <w:tcPr>
            <w:tcW w:w="2682" w:type="dxa"/>
            <w:tcBorders>
              <w:top w:val="single" w:sz="24" w:space="0" w:color="auto"/>
              <w:bottom w:val="dotted" w:sz="2" w:space="0" w:color="auto"/>
            </w:tcBorders>
            <w:shd w:val="clear" w:color="auto" w:fill="FFFF00"/>
            <w:vAlign w:val="center"/>
          </w:tcPr>
          <w:p w:rsidR="00F64B72" w:rsidRDefault="00F64B72" w:rsidP="00474694">
            <w:pPr>
              <w:ind w:rightChars="100" w:right="210"/>
              <w:jc w:val="right"/>
            </w:pPr>
            <w:r w:rsidRPr="00474694">
              <w:t>279</w:t>
            </w:r>
            <w:r>
              <w:rPr>
                <w:rFonts w:hint="eastAsia"/>
              </w:rPr>
              <w:t>（▲</w:t>
            </w:r>
            <w:r w:rsidRPr="00474694">
              <w:t>111</w:t>
            </w:r>
            <w:r>
              <w:rPr>
                <w:rFonts w:hint="eastAsia"/>
              </w:rPr>
              <w:t>）</w:t>
            </w:r>
          </w:p>
        </w:tc>
        <w:tc>
          <w:tcPr>
            <w:tcW w:w="2476" w:type="dxa"/>
            <w:tcBorders>
              <w:top w:val="single" w:sz="24" w:space="0" w:color="auto"/>
              <w:bottom w:val="dotted" w:sz="2" w:space="0" w:color="auto"/>
              <w:right w:val="single" w:sz="24" w:space="0" w:color="auto"/>
            </w:tcBorders>
            <w:shd w:val="clear" w:color="auto" w:fill="FFFF00"/>
            <w:vAlign w:val="center"/>
          </w:tcPr>
          <w:p w:rsidR="00F64B72" w:rsidRDefault="00F64B72" w:rsidP="00474694">
            <w:pPr>
              <w:ind w:rightChars="100" w:right="210"/>
              <w:jc w:val="right"/>
            </w:pPr>
            <w:r w:rsidRPr="00474694">
              <w:t>239</w:t>
            </w:r>
            <w:r>
              <w:rPr>
                <w:rFonts w:hint="eastAsia"/>
              </w:rPr>
              <w:t>（▲</w:t>
            </w:r>
            <w:r w:rsidRPr="00885697">
              <w:t>71</w:t>
            </w:r>
            <w:r>
              <w:rPr>
                <w:rFonts w:hint="eastAsia"/>
              </w:rPr>
              <w:t>）</w:t>
            </w:r>
          </w:p>
        </w:tc>
      </w:tr>
      <w:tr w:rsidR="00F64B72" w:rsidTr="00F64B72">
        <w:trPr>
          <w:trHeight w:val="301"/>
        </w:trPr>
        <w:tc>
          <w:tcPr>
            <w:tcW w:w="392" w:type="dxa"/>
            <w:vMerge/>
            <w:tcBorders>
              <w:left w:val="single" w:sz="4" w:space="0" w:color="auto"/>
              <w:bottom w:val="nil"/>
              <w:right w:val="single" w:sz="24" w:space="0" w:color="auto"/>
            </w:tcBorders>
          </w:tcPr>
          <w:p w:rsidR="00F64B72" w:rsidRDefault="00F64B72" w:rsidP="00FE071A"/>
        </w:tc>
        <w:tc>
          <w:tcPr>
            <w:tcW w:w="2126" w:type="dxa"/>
            <w:vMerge/>
            <w:tcBorders>
              <w:left w:val="single" w:sz="24" w:space="0" w:color="auto"/>
            </w:tcBorders>
            <w:shd w:val="clear" w:color="auto" w:fill="FFFF00"/>
            <w:vAlign w:val="center"/>
          </w:tcPr>
          <w:p w:rsidR="00F64B72" w:rsidRPr="00963A16" w:rsidRDefault="00F64B72" w:rsidP="00474694"/>
        </w:tc>
        <w:tc>
          <w:tcPr>
            <w:tcW w:w="2268" w:type="dxa"/>
            <w:tcBorders>
              <w:top w:val="dotted" w:sz="2" w:space="0" w:color="auto"/>
            </w:tcBorders>
            <w:shd w:val="clear" w:color="auto" w:fill="FFFF00"/>
            <w:vAlign w:val="center"/>
          </w:tcPr>
          <w:p w:rsidR="00F64B72" w:rsidRDefault="00F64B72" w:rsidP="00474694">
            <w:pPr>
              <w:ind w:rightChars="100" w:right="210"/>
              <w:jc w:val="right"/>
            </w:pPr>
          </w:p>
        </w:tc>
        <w:tc>
          <w:tcPr>
            <w:tcW w:w="2682" w:type="dxa"/>
            <w:tcBorders>
              <w:top w:val="dotted" w:sz="2" w:space="0" w:color="auto"/>
            </w:tcBorders>
            <w:shd w:val="clear" w:color="auto" w:fill="FFFF00"/>
            <w:vAlign w:val="center"/>
          </w:tcPr>
          <w:p w:rsidR="00F64B72" w:rsidRPr="00474694" w:rsidRDefault="00F64B72" w:rsidP="00474694">
            <w:pPr>
              <w:ind w:rightChars="100" w:right="210"/>
              <w:jc w:val="right"/>
            </w:pPr>
            <w:r>
              <w:rPr>
                <w:rFonts w:hint="eastAsia"/>
              </w:rPr>
              <w:t>▲</w:t>
            </w:r>
            <w:r w:rsidRPr="00810FC1">
              <w:t>39.8%</w:t>
            </w:r>
          </w:p>
        </w:tc>
        <w:tc>
          <w:tcPr>
            <w:tcW w:w="2476" w:type="dxa"/>
            <w:tcBorders>
              <w:top w:val="dotted" w:sz="2" w:space="0" w:color="auto"/>
              <w:right w:val="single" w:sz="24" w:space="0" w:color="auto"/>
            </w:tcBorders>
            <w:shd w:val="clear" w:color="auto" w:fill="FFFF00"/>
            <w:vAlign w:val="center"/>
          </w:tcPr>
          <w:p w:rsidR="00F64B72" w:rsidRPr="00474694" w:rsidRDefault="00F64B72" w:rsidP="00474694">
            <w:pPr>
              <w:ind w:rightChars="100" w:right="210"/>
              <w:jc w:val="right"/>
            </w:pPr>
            <w:r>
              <w:rPr>
                <w:rFonts w:hint="eastAsia"/>
              </w:rPr>
              <w:t>▲</w:t>
            </w:r>
            <w:r w:rsidRPr="00885697">
              <w:t>29.7%</w:t>
            </w:r>
          </w:p>
        </w:tc>
      </w:tr>
      <w:tr w:rsidR="00F64B72" w:rsidTr="00F64B72">
        <w:trPr>
          <w:trHeight w:val="402"/>
        </w:trPr>
        <w:tc>
          <w:tcPr>
            <w:tcW w:w="392" w:type="dxa"/>
            <w:vMerge w:val="restart"/>
            <w:tcBorders>
              <w:top w:val="nil"/>
              <w:left w:val="single" w:sz="4" w:space="0" w:color="auto"/>
              <w:right w:val="single" w:sz="24" w:space="0" w:color="auto"/>
            </w:tcBorders>
          </w:tcPr>
          <w:p w:rsidR="00F64B72" w:rsidRDefault="00F64B72" w:rsidP="00FE071A"/>
        </w:tc>
        <w:tc>
          <w:tcPr>
            <w:tcW w:w="2126" w:type="dxa"/>
            <w:vMerge w:val="restart"/>
            <w:tcBorders>
              <w:left w:val="single" w:sz="24" w:space="0" w:color="auto"/>
            </w:tcBorders>
            <w:shd w:val="clear" w:color="auto" w:fill="FFFF00"/>
            <w:vAlign w:val="center"/>
          </w:tcPr>
          <w:p w:rsidR="00F64B72" w:rsidRDefault="00F64B72" w:rsidP="00474694">
            <w:r w:rsidRPr="00963A16">
              <w:rPr>
                <w:rFonts w:hint="eastAsia"/>
              </w:rPr>
              <w:t>家庭部門</w:t>
            </w:r>
          </w:p>
        </w:tc>
        <w:tc>
          <w:tcPr>
            <w:tcW w:w="2268" w:type="dxa"/>
            <w:tcBorders>
              <w:bottom w:val="dotted" w:sz="2" w:space="0" w:color="auto"/>
            </w:tcBorders>
            <w:shd w:val="clear" w:color="auto" w:fill="FFFF00"/>
            <w:vAlign w:val="center"/>
          </w:tcPr>
          <w:p w:rsidR="00F64B72" w:rsidRDefault="00F64B72" w:rsidP="00474694">
            <w:pPr>
              <w:ind w:rightChars="100" w:right="210"/>
              <w:jc w:val="right"/>
            </w:pPr>
            <w:r>
              <w:t>122</w:t>
            </w:r>
          </w:p>
        </w:tc>
        <w:tc>
          <w:tcPr>
            <w:tcW w:w="2682" w:type="dxa"/>
            <w:tcBorders>
              <w:bottom w:val="dotted" w:sz="2" w:space="0" w:color="auto"/>
            </w:tcBorders>
            <w:shd w:val="clear" w:color="auto" w:fill="FFFF00"/>
            <w:vAlign w:val="center"/>
          </w:tcPr>
          <w:p w:rsidR="00F64B72" w:rsidRDefault="00F64B72" w:rsidP="00474694">
            <w:pPr>
              <w:ind w:rightChars="100" w:right="210"/>
              <w:jc w:val="right"/>
            </w:pPr>
            <w:r w:rsidRPr="00474694">
              <w:t>201</w:t>
            </w:r>
            <w:r>
              <w:rPr>
                <w:rFonts w:hint="eastAsia"/>
              </w:rPr>
              <w:t>（▲</w:t>
            </w:r>
            <w:r w:rsidRPr="00474694">
              <w:t>79</w:t>
            </w:r>
            <w:r>
              <w:rPr>
                <w:rFonts w:hint="eastAsia"/>
              </w:rPr>
              <w:t>）</w:t>
            </w:r>
          </w:p>
        </w:tc>
        <w:tc>
          <w:tcPr>
            <w:tcW w:w="2476" w:type="dxa"/>
            <w:tcBorders>
              <w:bottom w:val="dotted" w:sz="2" w:space="0" w:color="auto"/>
              <w:right w:val="single" w:sz="24" w:space="0" w:color="auto"/>
            </w:tcBorders>
            <w:shd w:val="clear" w:color="auto" w:fill="FFFF00"/>
            <w:vAlign w:val="center"/>
          </w:tcPr>
          <w:p w:rsidR="00F64B72" w:rsidRDefault="00F64B72" w:rsidP="00474694">
            <w:pPr>
              <w:ind w:rightChars="100" w:right="210"/>
              <w:jc w:val="right"/>
            </w:pPr>
            <w:r w:rsidRPr="00474694">
              <w:t>180</w:t>
            </w:r>
            <w:r>
              <w:rPr>
                <w:rFonts w:hint="eastAsia"/>
              </w:rPr>
              <w:t>（▲</w:t>
            </w:r>
            <w:r w:rsidRPr="00885697">
              <w:t>58</w:t>
            </w:r>
            <w:r>
              <w:rPr>
                <w:rFonts w:hint="eastAsia"/>
              </w:rPr>
              <w:t>）</w:t>
            </w:r>
          </w:p>
        </w:tc>
      </w:tr>
      <w:tr w:rsidR="00F64B72" w:rsidTr="00F64B72">
        <w:trPr>
          <w:trHeight w:val="318"/>
        </w:trPr>
        <w:tc>
          <w:tcPr>
            <w:tcW w:w="392" w:type="dxa"/>
            <w:vMerge/>
            <w:tcBorders>
              <w:left w:val="single" w:sz="4" w:space="0" w:color="auto"/>
              <w:bottom w:val="nil"/>
              <w:right w:val="single" w:sz="24" w:space="0" w:color="auto"/>
            </w:tcBorders>
          </w:tcPr>
          <w:p w:rsidR="00F64B72" w:rsidRDefault="00F64B72" w:rsidP="00FE071A"/>
        </w:tc>
        <w:tc>
          <w:tcPr>
            <w:tcW w:w="2126" w:type="dxa"/>
            <w:vMerge/>
            <w:tcBorders>
              <w:left w:val="single" w:sz="24" w:space="0" w:color="auto"/>
              <w:bottom w:val="single" w:sz="24" w:space="0" w:color="auto"/>
            </w:tcBorders>
            <w:shd w:val="clear" w:color="auto" w:fill="FFFF00"/>
            <w:vAlign w:val="center"/>
          </w:tcPr>
          <w:p w:rsidR="00F64B72" w:rsidRPr="00963A16" w:rsidRDefault="00F64B72" w:rsidP="00474694"/>
        </w:tc>
        <w:tc>
          <w:tcPr>
            <w:tcW w:w="2268" w:type="dxa"/>
            <w:tcBorders>
              <w:top w:val="dotted" w:sz="2" w:space="0" w:color="auto"/>
              <w:bottom w:val="single" w:sz="24" w:space="0" w:color="auto"/>
            </w:tcBorders>
            <w:shd w:val="clear" w:color="auto" w:fill="FFFF00"/>
            <w:vAlign w:val="center"/>
          </w:tcPr>
          <w:p w:rsidR="00F64B72" w:rsidRDefault="00F64B72" w:rsidP="00474694">
            <w:pPr>
              <w:ind w:rightChars="100" w:right="210"/>
              <w:jc w:val="right"/>
            </w:pPr>
          </w:p>
        </w:tc>
        <w:tc>
          <w:tcPr>
            <w:tcW w:w="2682" w:type="dxa"/>
            <w:tcBorders>
              <w:top w:val="dotted" w:sz="2" w:space="0" w:color="auto"/>
              <w:bottom w:val="single" w:sz="24" w:space="0" w:color="auto"/>
            </w:tcBorders>
            <w:shd w:val="clear" w:color="auto" w:fill="FFFF00"/>
            <w:vAlign w:val="center"/>
          </w:tcPr>
          <w:p w:rsidR="00F64B72" w:rsidRPr="00474694" w:rsidRDefault="00F64B72" w:rsidP="00474694">
            <w:pPr>
              <w:ind w:rightChars="100" w:right="210"/>
              <w:jc w:val="right"/>
            </w:pPr>
            <w:r>
              <w:rPr>
                <w:rFonts w:hint="eastAsia"/>
              </w:rPr>
              <w:t>▲</w:t>
            </w:r>
            <w:r w:rsidRPr="00810FC1">
              <w:t>39.3%</w:t>
            </w:r>
          </w:p>
        </w:tc>
        <w:tc>
          <w:tcPr>
            <w:tcW w:w="2476" w:type="dxa"/>
            <w:tcBorders>
              <w:top w:val="dotted" w:sz="2" w:space="0" w:color="auto"/>
              <w:bottom w:val="single" w:sz="24" w:space="0" w:color="auto"/>
              <w:right w:val="single" w:sz="24" w:space="0" w:color="auto"/>
            </w:tcBorders>
            <w:shd w:val="clear" w:color="auto" w:fill="FFFF00"/>
            <w:vAlign w:val="center"/>
          </w:tcPr>
          <w:p w:rsidR="00F64B72" w:rsidRPr="00474694" w:rsidRDefault="00F64B72" w:rsidP="00474694">
            <w:pPr>
              <w:ind w:rightChars="100" w:right="210"/>
              <w:jc w:val="right"/>
            </w:pPr>
            <w:r>
              <w:rPr>
                <w:rFonts w:hint="eastAsia"/>
              </w:rPr>
              <w:t>▲</w:t>
            </w:r>
            <w:r w:rsidRPr="00885697">
              <w:t>32.2%</w:t>
            </w:r>
          </w:p>
        </w:tc>
      </w:tr>
      <w:tr w:rsidR="00F64B72" w:rsidTr="00F64B72">
        <w:trPr>
          <w:trHeight w:val="402"/>
        </w:trPr>
        <w:tc>
          <w:tcPr>
            <w:tcW w:w="392" w:type="dxa"/>
            <w:vMerge w:val="restart"/>
            <w:tcBorders>
              <w:top w:val="nil"/>
              <w:left w:val="single" w:sz="4" w:space="0" w:color="auto"/>
            </w:tcBorders>
          </w:tcPr>
          <w:p w:rsidR="00F64B72" w:rsidRDefault="00F64B72" w:rsidP="00FE071A"/>
        </w:tc>
        <w:tc>
          <w:tcPr>
            <w:tcW w:w="2126" w:type="dxa"/>
            <w:vMerge w:val="restart"/>
            <w:tcBorders>
              <w:top w:val="single" w:sz="24" w:space="0" w:color="auto"/>
            </w:tcBorders>
            <w:vAlign w:val="center"/>
          </w:tcPr>
          <w:p w:rsidR="00F64B72" w:rsidRDefault="00F64B72" w:rsidP="00474694">
            <w:r w:rsidRPr="00963A16">
              <w:rPr>
                <w:rFonts w:hint="eastAsia"/>
              </w:rPr>
              <w:t>運輸部門</w:t>
            </w:r>
          </w:p>
        </w:tc>
        <w:tc>
          <w:tcPr>
            <w:tcW w:w="2268" w:type="dxa"/>
            <w:tcBorders>
              <w:top w:val="single" w:sz="24" w:space="0" w:color="auto"/>
              <w:bottom w:val="dotted" w:sz="2" w:space="0" w:color="auto"/>
            </w:tcBorders>
            <w:vAlign w:val="center"/>
          </w:tcPr>
          <w:p w:rsidR="00F64B72" w:rsidRDefault="00F64B72" w:rsidP="00474694">
            <w:pPr>
              <w:ind w:rightChars="100" w:right="210"/>
              <w:jc w:val="right"/>
            </w:pPr>
            <w:r>
              <w:t>163</w:t>
            </w:r>
          </w:p>
        </w:tc>
        <w:tc>
          <w:tcPr>
            <w:tcW w:w="2682" w:type="dxa"/>
            <w:tcBorders>
              <w:top w:val="single" w:sz="24" w:space="0" w:color="auto"/>
              <w:bottom w:val="dotted" w:sz="2" w:space="0" w:color="auto"/>
            </w:tcBorders>
            <w:vAlign w:val="center"/>
          </w:tcPr>
          <w:p w:rsidR="00F64B72" w:rsidRDefault="00F64B72" w:rsidP="00474694">
            <w:pPr>
              <w:ind w:rightChars="100" w:right="210"/>
              <w:jc w:val="right"/>
            </w:pPr>
            <w:r w:rsidRPr="00474694">
              <w:t>225</w:t>
            </w:r>
            <w:r>
              <w:rPr>
                <w:rFonts w:hint="eastAsia"/>
              </w:rPr>
              <w:t>（▲</w:t>
            </w:r>
            <w:r w:rsidRPr="00474694">
              <w:t>62</w:t>
            </w:r>
            <w:r>
              <w:rPr>
                <w:rFonts w:hint="eastAsia"/>
              </w:rPr>
              <w:t>）</w:t>
            </w:r>
          </w:p>
        </w:tc>
        <w:tc>
          <w:tcPr>
            <w:tcW w:w="2476" w:type="dxa"/>
            <w:tcBorders>
              <w:top w:val="single" w:sz="24" w:space="0" w:color="auto"/>
              <w:bottom w:val="dotted" w:sz="2" w:space="0" w:color="auto"/>
              <w:right w:val="single" w:sz="4" w:space="0" w:color="auto"/>
            </w:tcBorders>
            <w:vAlign w:val="center"/>
          </w:tcPr>
          <w:p w:rsidR="00F64B72" w:rsidRDefault="00F64B72" w:rsidP="00474694">
            <w:pPr>
              <w:ind w:rightChars="100" w:right="210"/>
              <w:jc w:val="right"/>
            </w:pPr>
            <w:r w:rsidRPr="00474694">
              <w:t>240</w:t>
            </w:r>
            <w:r>
              <w:rPr>
                <w:rFonts w:hint="eastAsia"/>
              </w:rPr>
              <w:t>（▲</w:t>
            </w:r>
            <w:r w:rsidRPr="00885697">
              <w:t>77</w:t>
            </w:r>
            <w:r>
              <w:rPr>
                <w:rFonts w:hint="eastAsia"/>
              </w:rPr>
              <w:t>）</w:t>
            </w:r>
          </w:p>
        </w:tc>
      </w:tr>
      <w:tr w:rsidR="00F64B72" w:rsidTr="00F64B72">
        <w:trPr>
          <w:trHeight w:val="301"/>
        </w:trPr>
        <w:tc>
          <w:tcPr>
            <w:tcW w:w="392" w:type="dxa"/>
            <w:vMerge/>
            <w:tcBorders>
              <w:left w:val="single" w:sz="4" w:space="0" w:color="auto"/>
              <w:bottom w:val="nil"/>
            </w:tcBorders>
          </w:tcPr>
          <w:p w:rsidR="00F64B72" w:rsidRDefault="00F64B72" w:rsidP="00FE071A"/>
        </w:tc>
        <w:tc>
          <w:tcPr>
            <w:tcW w:w="2126" w:type="dxa"/>
            <w:vMerge/>
            <w:vAlign w:val="center"/>
          </w:tcPr>
          <w:p w:rsidR="00F64B72" w:rsidRPr="00963A16" w:rsidRDefault="00F64B72" w:rsidP="00474694"/>
        </w:tc>
        <w:tc>
          <w:tcPr>
            <w:tcW w:w="2268" w:type="dxa"/>
            <w:tcBorders>
              <w:top w:val="dotted" w:sz="2" w:space="0" w:color="auto"/>
            </w:tcBorders>
            <w:vAlign w:val="center"/>
          </w:tcPr>
          <w:p w:rsidR="00F64B72" w:rsidRDefault="00F64B72" w:rsidP="00474694">
            <w:pPr>
              <w:ind w:rightChars="100" w:right="210"/>
              <w:jc w:val="right"/>
            </w:pPr>
          </w:p>
        </w:tc>
        <w:tc>
          <w:tcPr>
            <w:tcW w:w="2682" w:type="dxa"/>
            <w:tcBorders>
              <w:top w:val="dotted" w:sz="2" w:space="0" w:color="auto"/>
            </w:tcBorders>
            <w:vAlign w:val="center"/>
          </w:tcPr>
          <w:p w:rsidR="00F64B72" w:rsidRPr="00474694" w:rsidRDefault="00F64B72" w:rsidP="00474694">
            <w:pPr>
              <w:ind w:rightChars="100" w:right="210"/>
              <w:jc w:val="right"/>
            </w:pPr>
            <w:r>
              <w:rPr>
                <w:rFonts w:hint="eastAsia"/>
              </w:rPr>
              <w:t>▲</w:t>
            </w:r>
            <w:r w:rsidRPr="00885697">
              <w:t>27.6%</w:t>
            </w:r>
          </w:p>
        </w:tc>
        <w:tc>
          <w:tcPr>
            <w:tcW w:w="2476" w:type="dxa"/>
            <w:tcBorders>
              <w:top w:val="dotted" w:sz="2" w:space="0" w:color="auto"/>
              <w:right w:val="single" w:sz="4" w:space="0" w:color="auto"/>
            </w:tcBorders>
            <w:vAlign w:val="center"/>
          </w:tcPr>
          <w:p w:rsidR="00F64B72" w:rsidRPr="00474694" w:rsidRDefault="00F64B72" w:rsidP="00474694">
            <w:pPr>
              <w:ind w:rightChars="100" w:right="210"/>
              <w:jc w:val="right"/>
            </w:pPr>
            <w:r>
              <w:rPr>
                <w:rFonts w:hint="eastAsia"/>
              </w:rPr>
              <w:t>▲</w:t>
            </w:r>
            <w:r w:rsidRPr="00885697">
              <w:t>32.1%</w:t>
            </w:r>
          </w:p>
        </w:tc>
      </w:tr>
      <w:tr w:rsidR="00F64B72" w:rsidTr="00F64B72">
        <w:trPr>
          <w:trHeight w:val="385"/>
        </w:trPr>
        <w:tc>
          <w:tcPr>
            <w:tcW w:w="392" w:type="dxa"/>
            <w:vMerge w:val="restart"/>
            <w:tcBorders>
              <w:top w:val="nil"/>
              <w:left w:val="single" w:sz="4" w:space="0" w:color="auto"/>
            </w:tcBorders>
          </w:tcPr>
          <w:p w:rsidR="00F64B72" w:rsidRDefault="00F64B72" w:rsidP="00FE071A"/>
        </w:tc>
        <w:tc>
          <w:tcPr>
            <w:tcW w:w="2126" w:type="dxa"/>
            <w:vMerge w:val="restart"/>
            <w:vAlign w:val="center"/>
          </w:tcPr>
          <w:p w:rsidR="00F64B72" w:rsidRDefault="00F64B72" w:rsidP="00474694">
            <w:r w:rsidRPr="00963A16">
              <w:rPr>
                <w:rFonts w:hint="eastAsia"/>
              </w:rPr>
              <w:t>エネルギー転換部門</w:t>
            </w:r>
          </w:p>
        </w:tc>
        <w:tc>
          <w:tcPr>
            <w:tcW w:w="2268" w:type="dxa"/>
            <w:tcBorders>
              <w:bottom w:val="dotted" w:sz="2" w:space="0" w:color="auto"/>
            </w:tcBorders>
            <w:vAlign w:val="center"/>
          </w:tcPr>
          <w:p w:rsidR="00F64B72" w:rsidRDefault="00F64B72" w:rsidP="00474694">
            <w:pPr>
              <w:ind w:rightChars="100" w:right="210"/>
              <w:jc w:val="right"/>
            </w:pPr>
            <w:r>
              <w:t>73</w:t>
            </w:r>
          </w:p>
        </w:tc>
        <w:tc>
          <w:tcPr>
            <w:tcW w:w="2682" w:type="dxa"/>
            <w:tcBorders>
              <w:bottom w:val="dotted" w:sz="2" w:space="0" w:color="auto"/>
            </w:tcBorders>
            <w:vAlign w:val="center"/>
          </w:tcPr>
          <w:p w:rsidR="00F64B72" w:rsidRDefault="00F64B72" w:rsidP="00474694">
            <w:pPr>
              <w:ind w:rightChars="100" w:right="210"/>
              <w:jc w:val="right"/>
            </w:pPr>
            <w:r w:rsidRPr="00474694">
              <w:t>101</w:t>
            </w:r>
            <w:r>
              <w:rPr>
                <w:rFonts w:hint="eastAsia"/>
              </w:rPr>
              <w:t>（▲</w:t>
            </w:r>
            <w:r w:rsidRPr="00474694">
              <w:t>28</w:t>
            </w:r>
            <w:r>
              <w:rPr>
                <w:rFonts w:hint="eastAsia"/>
              </w:rPr>
              <w:t>）</w:t>
            </w:r>
          </w:p>
        </w:tc>
        <w:tc>
          <w:tcPr>
            <w:tcW w:w="2476" w:type="dxa"/>
            <w:tcBorders>
              <w:bottom w:val="dotted" w:sz="2" w:space="0" w:color="auto"/>
              <w:right w:val="single" w:sz="4" w:space="0" w:color="auto"/>
            </w:tcBorders>
            <w:vAlign w:val="center"/>
          </w:tcPr>
          <w:p w:rsidR="00F64B72" w:rsidRDefault="00F64B72" w:rsidP="00474694">
            <w:pPr>
              <w:ind w:rightChars="100" w:right="210"/>
              <w:jc w:val="right"/>
            </w:pPr>
            <w:r w:rsidRPr="00474694">
              <w:t>104</w:t>
            </w:r>
            <w:r>
              <w:rPr>
                <w:rFonts w:hint="eastAsia"/>
              </w:rPr>
              <w:t>（▲</w:t>
            </w:r>
            <w:r w:rsidRPr="00885697">
              <w:t>31</w:t>
            </w:r>
            <w:r>
              <w:rPr>
                <w:rFonts w:hint="eastAsia"/>
              </w:rPr>
              <w:t>）</w:t>
            </w:r>
          </w:p>
        </w:tc>
      </w:tr>
      <w:tr w:rsidR="00F64B72" w:rsidTr="00F64B72">
        <w:trPr>
          <w:trHeight w:val="335"/>
        </w:trPr>
        <w:tc>
          <w:tcPr>
            <w:tcW w:w="392" w:type="dxa"/>
            <w:vMerge/>
            <w:tcBorders>
              <w:left w:val="single" w:sz="4" w:space="0" w:color="auto"/>
              <w:bottom w:val="single" w:sz="4" w:space="0" w:color="auto"/>
            </w:tcBorders>
          </w:tcPr>
          <w:p w:rsidR="00F64B72" w:rsidRDefault="00F64B72" w:rsidP="00FE071A"/>
        </w:tc>
        <w:tc>
          <w:tcPr>
            <w:tcW w:w="2126" w:type="dxa"/>
            <w:vMerge/>
            <w:tcBorders>
              <w:bottom w:val="single" w:sz="4" w:space="0" w:color="auto"/>
            </w:tcBorders>
            <w:vAlign w:val="center"/>
          </w:tcPr>
          <w:p w:rsidR="00F64B72" w:rsidRPr="00963A16" w:rsidRDefault="00F64B72" w:rsidP="00474694"/>
        </w:tc>
        <w:tc>
          <w:tcPr>
            <w:tcW w:w="2268" w:type="dxa"/>
            <w:tcBorders>
              <w:top w:val="dotted" w:sz="2" w:space="0" w:color="auto"/>
              <w:bottom w:val="single" w:sz="4" w:space="0" w:color="auto"/>
            </w:tcBorders>
            <w:vAlign w:val="center"/>
          </w:tcPr>
          <w:p w:rsidR="00F64B72" w:rsidRDefault="00F64B72" w:rsidP="00474694">
            <w:pPr>
              <w:ind w:rightChars="100" w:right="210"/>
              <w:jc w:val="right"/>
            </w:pPr>
          </w:p>
        </w:tc>
        <w:tc>
          <w:tcPr>
            <w:tcW w:w="2682" w:type="dxa"/>
            <w:tcBorders>
              <w:top w:val="dotted" w:sz="2" w:space="0" w:color="auto"/>
              <w:bottom w:val="single" w:sz="4" w:space="0" w:color="auto"/>
            </w:tcBorders>
            <w:vAlign w:val="center"/>
          </w:tcPr>
          <w:p w:rsidR="00F64B72" w:rsidRPr="00474694" w:rsidRDefault="00F64B72" w:rsidP="00474694">
            <w:pPr>
              <w:ind w:rightChars="100" w:right="210"/>
              <w:jc w:val="right"/>
            </w:pPr>
            <w:r>
              <w:rPr>
                <w:rFonts w:hint="eastAsia"/>
              </w:rPr>
              <w:t>▲</w:t>
            </w:r>
            <w:r w:rsidRPr="00885697">
              <w:t>27.7%</w:t>
            </w:r>
          </w:p>
        </w:tc>
        <w:tc>
          <w:tcPr>
            <w:tcW w:w="2476" w:type="dxa"/>
            <w:tcBorders>
              <w:top w:val="dotted" w:sz="2" w:space="0" w:color="auto"/>
              <w:bottom w:val="single" w:sz="4" w:space="0" w:color="auto"/>
              <w:right w:val="single" w:sz="4" w:space="0" w:color="auto"/>
            </w:tcBorders>
            <w:vAlign w:val="center"/>
          </w:tcPr>
          <w:p w:rsidR="00F64B72" w:rsidRPr="00474694" w:rsidRDefault="00F64B72" w:rsidP="00474694">
            <w:pPr>
              <w:ind w:rightChars="100" w:right="210"/>
              <w:jc w:val="right"/>
            </w:pPr>
            <w:r>
              <w:rPr>
                <w:rFonts w:hint="eastAsia"/>
              </w:rPr>
              <w:t>▲</w:t>
            </w:r>
            <w:r w:rsidRPr="00885697">
              <w:t>29.8%</w:t>
            </w:r>
          </w:p>
        </w:tc>
      </w:tr>
    </w:tbl>
    <w:p w:rsidR="00A6219B" w:rsidRDefault="00014F0B" w:rsidP="00FE071A">
      <w:r w:rsidRPr="00352F4B">
        <w:rPr>
          <w:rFonts w:hint="eastAsia"/>
          <w:color w:val="000000" w:themeColor="text1"/>
        </w:rPr>
        <w:t>出</w:t>
      </w:r>
      <w:r w:rsidR="00024D21" w:rsidRPr="00352F4B">
        <w:rPr>
          <w:rFonts w:hint="eastAsia"/>
          <w:color w:val="000000" w:themeColor="text1"/>
        </w:rPr>
        <w:t>典</w:t>
      </w:r>
      <w:r>
        <w:rPr>
          <w:rFonts w:hint="eastAsia"/>
        </w:rPr>
        <w:t>：</w:t>
      </w:r>
      <w:r w:rsidR="004D31D7" w:rsidRPr="004D31D7">
        <w:rPr>
          <w:rFonts w:hint="eastAsia"/>
        </w:rPr>
        <w:t>地球温暖化対策計画（平成</w:t>
      </w:r>
      <w:r w:rsidR="004D31D7" w:rsidRPr="004D31D7">
        <w:rPr>
          <w:rFonts w:hint="eastAsia"/>
        </w:rPr>
        <w:t>28</w:t>
      </w:r>
      <w:r w:rsidR="004D31D7" w:rsidRPr="004D31D7">
        <w:rPr>
          <w:rFonts w:hint="eastAsia"/>
        </w:rPr>
        <w:t>年５月</w:t>
      </w:r>
      <w:r w:rsidR="004D31D7" w:rsidRPr="004D31D7">
        <w:rPr>
          <w:rFonts w:hint="eastAsia"/>
        </w:rPr>
        <w:t>13</w:t>
      </w:r>
      <w:r w:rsidR="004D31D7" w:rsidRPr="004D31D7">
        <w:rPr>
          <w:rFonts w:hint="eastAsia"/>
        </w:rPr>
        <w:t>日閣議決定）</w:t>
      </w:r>
      <w:r w:rsidR="00D33FA5">
        <w:rPr>
          <w:rFonts w:hint="eastAsia"/>
        </w:rPr>
        <w:t>を</w:t>
      </w:r>
      <w:r>
        <w:rPr>
          <w:rFonts w:hint="eastAsia"/>
        </w:rPr>
        <w:t>基に大阪府が作成</w:t>
      </w:r>
    </w:p>
    <w:p w:rsidR="00A6219B" w:rsidRDefault="00A6219B" w:rsidP="00FE071A"/>
    <w:p w:rsidR="00064291" w:rsidRDefault="00064291">
      <w:pPr>
        <w:widowControl/>
        <w:jc w:val="left"/>
      </w:pPr>
      <w:r>
        <w:br w:type="page"/>
      </w:r>
    </w:p>
    <w:p w:rsidR="00064291" w:rsidRDefault="00064291" w:rsidP="00064291">
      <w:pPr>
        <w:pStyle w:val="a9"/>
        <w:spacing w:beforeLines="50" w:before="180"/>
        <w:jc w:val="center"/>
      </w:pPr>
      <w:bookmarkStart w:id="1" w:name="_Ref442020771"/>
      <w:r>
        <w:rPr>
          <w:rFonts w:hint="eastAsia"/>
        </w:rPr>
        <w:lastRenderedPageBreak/>
        <w:t>表</w:t>
      </w:r>
      <w:bookmarkEnd w:id="1"/>
      <w:r w:rsidR="00401FDC">
        <w:rPr>
          <w:rFonts w:hint="eastAsia"/>
        </w:rPr>
        <w:t xml:space="preserve"> </w:t>
      </w:r>
      <w:r w:rsidR="00401FDC">
        <w:rPr>
          <w:rFonts w:hint="eastAsia"/>
        </w:rPr>
        <w:t>２</w:t>
      </w:r>
      <w:r>
        <w:rPr>
          <w:rFonts w:hint="eastAsia"/>
        </w:rPr>
        <w:t xml:space="preserve">　</w:t>
      </w:r>
      <w:r w:rsidRPr="0055366F">
        <w:rPr>
          <w:rFonts w:hint="eastAsia"/>
        </w:rPr>
        <w:t>温室効果ガス削減目標積み上げの基礎となった対策・施策</w:t>
      </w:r>
      <w:r>
        <w:rPr>
          <w:rFonts w:hint="eastAsia"/>
        </w:rPr>
        <w:t>（抜粋）</w:t>
      </w:r>
    </w:p>
    <w:tbl>
      <w:tblPr>
        <w:tblStyle w:val="a8"/>
        <w:tblW w:w="0" w:type="auto"/>
        <w:tblLook w:val="04A0" w:firstRow="1" w:lastRow="0" w:firstColumn="1" w:lastColumn="0" w:noHBand="0" w:noVBand="1"/>
      </w:tblPr>
      <w:tblGrid>
        <w:gridCol w:w="582"/>
        <w:gridCol w:w="7323"/>
        <w:gridCol w:w="1028"/>
        <w:gridCol w:w="1029"/>
      </w:tblGrid>
      <w:tr w:rsidR="00064291" w:rsidRPr="000A5873" w:rsidTr="00A44484">
        <w:trPr>
          <w:cantSplit/>
          <w:trHeight w:val="240"/>
        </w:trPr>
        <w:tc>
          <w:tcPr>
            <w:tcW w:w="582" w:type="dxa"/>
            <w:vMerge w:val="restart"/>
            <w:vAlign w:val="center"/>
          </w:tcPr>
          <w:p w:rsidR="00064291" w:rsidRPr="000A5873" w:rsidRDefault="00064291" w:rsidP="00064291">
            <w:pPr>
              <w:jc w:val="center"/>
            </w:pPr>
            <w:r w:rsidRPr="000A5873">
              <w:rPr>
                <w:rFonts w:hint="eastAsia"/>
              </w:rPr>
              <w:t>部門</w:t>
            </w:r>
          </w:p>
        </w:tc>
        <w:tc>
          <w:tcPr>
            <w:tcW w:w="7323" w:type="dxa"/>
            <w:vMerge w:val="restart"/>
            <w:vAlign w:val="center"/>
          </w:tcPr>
          <w:p w:rsidR="00064291" w:rsidRPr="000A5873" w:rsidRDefault="00064291" w:rsidP="00064291">
            <w:pPr>
              <w:ind w:left="210" w:hangingChars="100" w:hanging="210"/>
              <w:jc w:val="center"/>
            </w:pPr>
            <w:r w:rsidRPr="000A5873">
              <w:rPr>
                <w:rFonts w:hint="eastAsia"/>
              </w:rPr>
              <w:t>温室効果ガス削減目標積み上げの基礎となった対策・施策</w:t>
            </w:r>
          </w:p>
        </w:tc>
        <w:tc>
          <w:tcPr>
            <w:tcW w:w="2057" w:type="dxa"/>
            <w:gridSpan w:val="2"/>
          </w:tcPr>
          <w:p w:rsidR="005B6A11" w:rsidRDefault="004C064A" w:rsidP="005B6A11">
            <w:pPr>
              <w:spacing w:line="240" w:lineRule="exact"/>
              <w:jc w:val="center"/>
            </w:pPr>
            <w:r w:rsidRPr="000A5873">
              <w:rPr>
                <w:rFonts w:hint="eastAsia"/>
              </w:rPr>
              <w:t>2030</w:t>
            </w:r>
            <w:r w:rsidRPr="000A5873">
              <w:rPr>
                <w:rFonts w:hint="eastAsia"/>
              </w:rPr>
              <w:t>年度</w:t>
            </w:r>
          </w:p>
          <w:p w:rsidR="004C064A" w:rsidRPr="000A5873" w:rsidRDefault="005B6A11" w:rsidP="005B6A11">
            <w:pPr>
              <w:spacing w:line="240" w:lineRule="exact"/>
              <w:jc w:val="center"/>
            </w:pPr>
            <w:r>
              <w:rPr>
                <w:rFonts w:hint="eastAsia"/>
              </w:rPr>
              <w:t>（</w:t>
            </w:r>
            <w:r>
              <w:rPr>
                <w:rFonts w:hint="eastAsia"/>
              </w:rPr>
              <w:t>2013</w:t>
            </w:r>
            <w:r>
              <w:rPr>
                <w:rFonts w:hint="eastAsia"/>
              </w:rPr>
              <w:t>年度比）</w:t>
            </w:r>
          </w:p>
          <w:p w:rsidR="004C064A" w:rsidRPr="000A5873" w:rsidRDefault="004C064A" w:rsidP="005B6A11">
            <w:pPr>
              <w:spacing w:line="240" w:lineRule="exact"/>
              <w:jc w:val="center"/>
            </w:pPr>
            <w:r w:rsidRPr="000A5873">
              <w:rPr>
                <w:rFonts w:hint="eastAsia"/>
              </w:rPr>
              <w:t>排出</w:t>
            </w:r>
            <w:r w:rsidR="00064291" w:rsidRPr="000A5873">
              <w:rPr>
                <w:rFonts w:hint="eastAsia"/>
              </w:rPr>
              <w:t>削減</w:t>
            </w:r>
            <w:r w:rsidRPr="000A5873">
              <w:rPr>
                <w:rFonts w:hint="eastAsia"/>
              </w:rPr>
              <w:t>見込</w:t>
            </w:r>
            <w:r w:rsidR="00064291" w:rsidRPr="000A5873">
              <w:rPr>
                <w:rFonts w:hint="eastAsia"/>
              </w:rPr>
              <w:t>量</w:t>
            </w:r>
          </w:p>
          <w:p w:rsidR="00064291" w:rsidRPr="000A5873" w:rsidRDefault="00064291" w:rsidP="005B6A11">
            <w:pPr>
              <w:spacing w:line="240" w:lineRule="exact"/>
              <w:jc w:val="center"/>
            </w:pPr>
            <w:r w:rsidRPr="000A5873">
              <w:rPr>
                <w:rFonts w:hint="eastAsia"/>
              </w:rPr>
              <w:t>[</w:t>
            </w:r>
            <w:r w:rsidRPr="000A5873">
              <w:rPr>
                <w:rFonts w:hint="eastAsia"/>
              </w:rPr>
              <w:t>万</w:t>
            </w:r>
            <w:r w:rsidRPr="000A5873">
              <w:rPr>
                <w:rFonts w:hint="eastAsia"/>
              </w:rPr>
              <w:t>t-CO</w:t>
            </w:r>
            <w:r w:rsidRPr="000A5873">
              <w:rPr>
                <w:rFonts w:hint="eastAsia"/>
                <w:vertAlign w:val="subscript"/>
              </w:rPr>
              <w:t>2</w:t>
            </w:r>
            <w:r w:rsidRPr="000A5873">
              <w:rPr>
                <w:rFonts w:hint="eastAsia"/>
              </w:rPr>
              <w:t>]</w:t>
            </w:r>
          </w:p>
        </w:tc>
      </w:tr>
      <w:tr w:rsidR="00064291" w:rsidRPr="000A5873" w:rsidTr="00A44484">
        <w:trPr>
          <w:cantSplit/>
          <w:trHeight w:val="240"/>
        </w:trPr>
        <w:tc>
          <w:tcPr>
            <w:tcW w:w="582" w:type="dxa"/>
            <w:vMerge/>
            <w:vAlign w:val="center"/>
          </w:tcPr>
          <w:p w:rsidR="00064291" w:rsidRPr="000A5873" w:rsidRDefault="00064291" w:rsidP="00064291">
            <w:pPr>
              <w:jc w:val="center"/>
            </w:pPr>
          </w:p>
        </w:tc>
        <w:tc>
          <w:tcPr>
            <w:tcW w:w="7323" w:type="dxa"/>
            <w:vMerge/>
            <w:vAlign w:val="center"/>
          </w:tcPr>
          <w:p w:rsidR="00064291" w:rsidRPr="000A5873" w:rsidRDefault="00064291" w:rsidP="00064291">
            <w:pPr>
              <w:ind w:left="210" w:hangingChars="100" w:hanging="210"/>
              <w:jc w:val="center"/>
            </w:pPr>
          </w:p>
        </w:tc>
        <w:tc>
          <w:tcPr>
            <w:tcW w:w="1028" w:type="dxa"/>
            <w:vAlign w:val="center"/>
          </w:tcPr>
          <w:p w:rsidR="00064291" w:rsidRPr="000A5873" w:rsidRDefault="00064291" w:rsidP="00A44484">
            <w:pPr>
              <w:ind w:left="210" w:hangingChars="100" w:hanging="210"/>
              <w:jc w:val="center"/>
            </w:pPr>
            <w:r w:rsidRPr="000A5873">
              <w:rPr>
                <w:rFonts w:hint="eastAsia"/>
              </w:rPr>
              <w:t>全国</w:t>
            </w:r>
          </w:p>
        </w:tc>
        <w:tc>
          <w:tcPr>
            <w:tcW w:w="1029" w:type="dxa"/>
            <w:vAlign w:val="center"/>
          </w:tcPr>
          <w:p w:rsidR="00064291" w:rsidRPr="000A5873" w:rsidRDefault="00064291" w:rsidP="00A44484">
            <w:pPr>
              <w:ind w:left="210" w:hangingChars="100" w:hanging="210"/>
              <w:jc w:val="center"/>
            </w:pPr>
            <w:r w:rsidRPr="000A5873">
              <w:rPr>
                <w:rFonts w:hint="eastAsia"/>
              </w:rPr>
              <w:t>大阪府</w:t>
            </w:r>
          </w:p>
          <w:p w:rsidR="00A44484" w:rsidRPr="000A5873" w:rsidRDefault="00A44484" w:rsidP="00A44484">
            <w:pPr>
              <w:ind w:left="210" w:hangingChars="100" w:hanging="210"/>
              <w:jc w:val="center"/>
            </w:pPr>
            <w:r w:rsidRPr="000A5873">
              <w:rPr>
                <w:rFonts w:hint="eastAsia"/>
              </w:rPr>
              <w:t>（推計）</w:t>
            </w:r>
          </w:p>
        </w:tc>
      </w:tr>
      <w:tr w:rsidR="00064291" w:rsidRPr="000A5873" w:rsidTr="00A44484">
        <w:trPr>
          <w:cantSplit/>
          <w:trHeight w:val="1134"/>
        </w:trPr>
        <w:tc>
          <w:tcPr>
            <w:tcW w:w="582" w:type="dxa"/>
            <w:textDirection w:val="tbRlV"/>
            <w:vAlign w:val="center"/>
          </w:tcPr>
          <w:p w:rsidR="00064291" w:rsidRPr="000A5873" w:rsidRDefault="00064291" w:rsidP="007A37C7">
            <w:pPr>
              <w:ind w:left="113" w:right="113"/>
              <w:jc w:val="center"/>
            </w:pPr>
            <w:r w:rsidRPr="000A5873">
              <w:rPr>
                <w:rFonts w:hint="eastAsia"/>
              </w:rPr>
              <w:t>業務その他部門</w:t>
            </w:r>
          </w:p>
        </w:tc>
        <w:tc>
          <w:tcPr>
            <w:tcW w:w="7323" w:type="dxa"/>
          </w:tcPr>
          <w:p w:rsidR="00064291" w:rsidRPr="000A5873" w:rsidRDefault="00064291" w:rsidP="00904382">
            <w:pPr>
              <w:spacing w:line="300" w:lineRule="exact"/>
              <w:ind w:left="210" w:hangingChars="100" w:hanging="210"/>
            </w:pPr>
            <w:r w:rsidRPr="000A5873">
              <w:rPr>
                <w:rFonts w:hint="eastAsia"/>
              </w:rPr>
              <w:t>・新築建築物における省エネ基準適合の推進</w:t>
            </w:r>
          </w:p>
          <w:p w:rsidR="00064291" w:rsidRPr="000A5873" w:rsidRDefault="00064291" w:rsidP="004C064A">
            <w:pPr>
              <w:spacing w:line="300" w:lineRule="exact"/>
              <w:ind w:left="210" w:hangingChars="100" w:hanging="210"/>
            </w:pPr>
            <w:r w:rsidRPr="000A5873">
              <w:rPr>
                <w:rFonts w:hint="eastAsia"/>
              </w:rPr>
              <w:t>・建築物の省エネ化（改修）</w:t>
            </w:r>
          </w:p>
          <w:p w:rsidR="00904382" w:rsidRPr="000A5873" w:rsidRDefault="00064291" w:rsidP="004C064A">
            <w:pPr>
              <w:spacing w:line="300" w:lineRule="exact"/>
              <w:ind w:left="210" w:hangingChars="100" w:hanging="210"/>
            </w:pPr>
            <w:r w:rsidRPr="000A5873">
              <w:rPr>
                <w:rFonts w:hint="eastAsia"/>
              </w:rPr>
              <w:t>・業務用給湯器の導入</w:t>
            </w:r>
          </w:p>
          <w:p w:rsidR="00064291" w:rsidRPr="000A5873" w:rsidRDefault="00064291" w:rsidP="004C064A">
            <w:pPr>
              <w:spacing w:line="300" w:lineRule="exact"/>
              <w:ind w:left="210" w:hangingChars="100" w:hanging="210"/>
            </w:pPr>
            <w:r w:rsidRPr="000A5873">
              <w:rPr>
                <w:rFonts w:hint="eastAsia"/>
              </w:rPr>
              <w:t>・高効率照明の導入</w:t>
            </w:r>
          </w:p>
          <w:p w:rsidR="00064291" w:rsidRPr="000A5873" w:rsidRDefault="00064291" w:rsidP="004C064A">
            <w:pPr>
              <w:spacing w:line="300" w:lineRule="exact"/>
              <w:ind w:left="210" w:hangingChars="100" w:hanging="210"/>
            </w:pPr>
            <w:r w:rsidRPr="000A5873">
              <w:rPr>
                <w:rFonts w:hint="eastAsia"/>
              </w:rPr>
              <w:t>・冷媒管理技術の導入（フロン）</w:t>
            </w:r>
          </w:p>
          <w:p w:rsidR="00064291" w:rsidRPr="000A5873" w:rsidRDefault="00064291" w:rsidP="004C064A">
            <w:pPr>
              <w:spacing w:line="300" w:lineRule="exact"/>
              <w:ind w:left="210" w:hangingChars="100" w:hanging="210"/>
            </w:pPr>
            <w:r w:rsidRPr="000A5873">
              <w:rPr>
                <w:rFonts w:hint="eastAsia"/>
              </w:rPr>
              <w:t>・トップランナー制度等による機器の省エネ性能向上</w:t>
            </w:r>
          </w:p>
          <w:p w:rsidR="00064291" w:rsidRPr="000A5873" w:rsidRDefault="00064291" w:rsidP="004C064A">
            <w:pPr>
              <w:spacing w:line="300" w:lineRule="exact"/>
              <w:ind w:left="210" w:hangingChars="100" w:hanging="210"/>
            </w:pPr>
            <w:r w:rsidRPr="000A5873">
              <w:rPr>
                <w:rFonts w:hint="eastAsia"/>
              </w:rPr>
              <w:t>・</w:t>
            </w:r>
            <w:r w:rsidRPr="000A5873">
              <w:rPr>
                <w:rFonts w:hint="eastAsia"/>
              </w:rPr>
              <w:t>BEMS</w:t>
            </w:r>
            <w:r w:rsidRPr="000A5873">
              <w:rPr>
                <w:rFonts w:hint="eastAsia"/>
              </w:rPr>
              <w:t>の活用、省エネ診断等による業務部門における徹底的なエネルギー管理の実施</w:t>
            </w:r>
          </w:p>
          <w:p w:rsidR="00064291" w:rsidRPr="000A5873" w:rsidRDefault="00064291" w:rsidP="004C064A">
            <w:pPr>
              <w:spacing w:line="300" w:lineRule="exact"/>
              <w:ind w:left="210" w:hangingChars="100" w:hanging="210"/>
            </w:pPr>
            <w:r w:rsidRPr="000A5873">
              <w:rPr>
                <w:rFonts w:hint="eastAsia"/>
              </w:rPr>
              <w:t>・照明の効率的な利用</w:t>
            </w:r>
          </w:p>
          <w:p w:rsidR="00FF232C" w:rsidRPr="000A5873" w:rsidRDefault="00064291" w:rsidP="00FF232C">
            <w:pPr>
              <w:spacing w:line="300" w:lineRule="exact"/>
              <w:ind w:left="210" w:hangingChars="100" w:hanging="210"/>
            </w:pPr>
            <w:r w:rsidRPr="000A5873">
              <w:rPr>
                <w:rFonts w:hint="eastAsia"/>
              </w:rPr>
              <w:t>・クールビズ</w:t>
            </w:r>
            <w:r w:rsidR="00FF232C" w:rsidRPr="000A5873">
              <w:rPr>
                <w:rFonts w:hint="eastAsia"/>
              </w:rPr>
              <w:t>の実施徹底の促進</w:t>
            </w:r>
          </w:p>
          <w:p w:rsidR="00064291" w:rsidRPr="000A5873" w:rsidRDefault="00FF232C" w:rsidP="00FF232C">
            <w:pPr>
              <w:spacing w:line="300" w:lineRule="exact"/>
              <w:ind w:left="210" w:hangingChars="100" w:hanging="210"/>
            </w:pPr>
            <w:r w:rsidRPr="000A5873">
              <w:rPr>
                <w:rFonts w:hint="eastAsia"/>
              </w:rPr>
              <w:t>・</w:t>
            </w:r>
            <w:r w:rsidR="00064291" w:rsidRPr="000A5873">
              <w:rPr>
                <w:rFonts w:hint="eastAsia"/>
              </w:rPr>
              <w:t>ウォームビズの実施徹底の促進</w:t>
            </w:r>
          </w:p>
          <w:p w:rsidR="00064291" w:rsidRPr="000A5873" w:rsidRDefault="00064291" w:rsidP="004C064A">
            <w:pPr>
              <w:spacing w:line="300" w:lineRule="exact"/>
              <w:ind w:left="210" w:hangingChars="100" w:hanging="210"/>
            </w:pPr>
            <w:r w:rsidRPr="000A5873">
              <w:rPr>
                <w:rFonts w:hint="eastAsia"/>
              </w:rPr>
              <w:t>・エネルギーの面的利用の拡大</w:t>
            </w:r>
          </w:p>
          <w:p w:rsidR="00064291" w:rsidRPr="000A5873" w:rsidRDefault="00064291" w:rsidP="004C064A">
            <w:pPr>
              <w:spacing w:line="300" w:lineRule="exact"/>
              <w:ind w:left="210" w:hangingChars="100" w:hanging="210"/>
            </w:pPr>
            <w:r w:rsidRPr="000A5873">
              <w:rPr>
                <w:rFonts w:hint="eastAsia"/>
              </w:rPr>
              <w:t>・下水道における省エネ・創エネ対策の推進</w:t>
            </w:r>
          </w:p>
          <w:p w:rsidR="00064291" w:rsidRPr="000A5873" w:rsidRDefault="00064291" w:rsidP="004C064A">
            <w:pPr>
              <w:spacing w:line="300" w:lineRule="exact"/>
              <w:ind w:left="210" w:hangingChars="100" w:hanging="210"/>
            </w:pPr>
            <w:r w:rsidRPr="000A5873">
              <w:rPr>
                <w:rFonts w:hint="eastAsia"/>
              </w:rPr>
              <w:t>・水道事業における省エネルギー・再生可能エネルギー対策の推進等</w:t>
            </w:r>
          </w:p>
          <w:p w:rsidR="00064291" w:rsidRPr="000A5873" w:rsidRDefault="00064291" w:rsidP="004C064A">
            <w:pPr>
              <w:spacing w:line="300" w:lineRule="exact"/>
              <w:ind w:left="210" w:hangingChars="100" w:hanging="210"/>
            </w:pPr>
            <w:r w:rsidRPr="000A5873">
              <w:rPr>
                <w:rFonts w:hint="eastAsia"/>
              </w:rPr>
              <w:t>・地方公共団体実行計画（事務事業編）に基づく取組の推進</w:t>
            </w:r>
          </w:p>
          <w:p w:rsidR="00064291" w:rsidRPr="000A5873" w:rsidRDefault="00064291" w:rsidP="004C064A">
            <w:pPr>
              <w:spacing w:line="300" w:lineRule="exact"/>
              <w:ind w:left="210" w:hangingChars="100" w:hanging="210"/>
            </w:pPr>
            <w:r w:rsidRPr="000A5873">
              <w:rPr>
                <w:rFonts w:hint="eastAsia"/>
              </w:rPr>
              <w:t>・プラスチック製容器包装の分別収集・リサイクルの推進</w:t>
            </w:r>
          </w:p>
          <w:p w:rsidR="00064291" w:rsidRPr="000A5873" w:rsidRDefault="00064291" w:rsidP="004C064A">
            <w:pPr>
              <w:spacing w:line="300" w:lineRule="exact"/>
              <w:ind w:left="210" w:hangingChars="100" w:hanging="210"/>
            </w:pPr>
            <w:r w:rsidRPr="000A5873">
              <w:rPr>
                <w:rFonts w:hint="eastAsia"/>
              </w:rPr>
              <w:t>・ヒートアイランド対策による熱環境改善を通じた都市の低炭素化</w:t>
            </w:r>
          </w:p>
          <w:p w:rsidR="00F321C8" w:rsidRPr="000A5873" w:rsidRDefault="00F321C8" w:rsidP="004C064A">
            <w:pPr>
              <w:spacing w:line="300" w:lineRule="exact"/>
              <w:ind w:left="210" w:hangingChars="100" w:hanging="210"/>
            </w:pPr>
          </w:p>
          <w:p w:rsidR="00064291" w:rsidRPr="000A5873" w:rsidRDefault="00064291" w:rsidP="004C064A">
            <w:pPr>
              <w:spacing w:line="300" w:lineRule="exact"/>
              <w:ind w:left="210" w:hangingChars="100" w:hanging="210"/>
            </w:pPr>
            <w:r w:rsidRPr="000A5873">
              <w:rPr>
                <w:rFonts w:hint="eastAsia"/>
              </w:rPr>
              <w:t>・温暖化対策ロードマップ等による各省連携施策の計画的な推進</w:t>
            </w:r>
          </w:p>
        </w:tc>
        <w:tc>
          <w:tcPr>
            <w:tcW w:w="1028" w:type="dxa"/>
          </w:tcPr>
          <w:p w:rsidR="00064291" w:rsidRPr="000A5873" w:rsidRDefault="00904382" w:rsidP="00904382">
            <w:pPr>
              <w:spacing w:line="300" w:lineRule="exact"/>
              <w:ind w:left="210" w:hangingChars="100" w:hanging="210"/>
              <w:jc w:val="right"/>
            </w:pPr>
            <w:r w:rsidRPr="000A5873">
              <w:rPr>
                <w:rFonts w:hint="eastAsia"/>
              </w:rPr>
              <w:t>1,035</w:t>
            </w:r>
          </w:p>
          <w:p w:rsidR="00904382" w:rsidRPr="000A5873" w:rsidRDefault="00904382" w:rsidP="00904382">
            <w:pPr>
              <w:spacing w:line="300" w:lineRule="exact"/>
              <w:ind w:left="210" w:hangingChars="100" w:hanging="210"/>
              <w:jc w:val="right"/>
            </w:pPr>
            <w:r w:rsidRPr="000A5873">
              <w:rPr>
                <w:rFonts w:hint="eastAsia"/>
              </w:rPr>
              <w:t>122</w:t>
            </w:r>
          </w:p>
          <w:p w:rsidR="00904382" w:rsidRPr="000A5873" w:rsidRDefault="00904382" w:rsidP="00904382">
            <w:pPr>
              <w:spacing w:line="300" w:lineRule="exact"/>
              <w:ind w:left="210" w:hangingChars="100" w:hanging="210"/>
              <w:jc w:val="right"/>
            </w:pPr>
            <w:r w:rsidRPr="000A5873">
              <w:rPr>
                <w:rFonts w:hint="eastAsia"/>
              </w:rPr>
              <w:t>155</w:t>
            </w:r>
          </w:p>
          <w:p w:rsidR="00904382" w:rsidRPr="000A5873" w:rsidRDefault="00904382" w:rsidP="00904382">
            <w:pPr>
              <w:spacing w:line="300" w:lineRule="exact"/>
              <w:ind w:left="210" w:hangingChars="100" w:hanging="210"/>
              <w:jc w:val="right"/>
            </w:pPr>
            <w:r w:rsidRPr="000A5873">
              <w:rPr>
                <w:rFonts w:hint="eastAsia"/>
              </w:rPr>
              <w:t>991</w:t>
            </w:r>
          </w:p>
          <w:p w:rsidR="00904382" w:rsidRPr="000A5873" w:rsidRDefault="00904382" w:rsidP="00904382">
            <w:pPr>
              <w:spacing w:line="300" w:lineRule="exact"/>
              <w:ind w:left="210" w:hangingChars="100" w:hanging="210"/>
              <w:jc w:val="right"/>
            </w:pPr>
            <w:r w:rsidRPr="000A5873">
              <w:rPr>
                <w:rFonts w:hint="eastAsia"/>
              </w:rPr>
              <w:t>2.4</w:t>
            </w:r>
          </w:p>
          <w:p w:rsidR="00904382" w:rsidRPr="000A5873" w:rsidRDefault="00667569" w:rsidP="00904382">
            <w:pPr>
              <w:spacing w:line="300" w:lineRule="exact"/>
              <w:ind w:left="210" w:hangingChars="100" w:hanging="210"/>
              <w:jc w:val="right"/>
            </w:pPr>
            <w:r w:rsidRPr="000A5873">
              <w:rPr>
                <w:rFonts w:hint="eastAsia"/>
              </w:rPr>
              <w:t>1,706</w:t>
            </w:r>
          </w:p>
          <w:p w:rsidR="00904382" w:rsidRPr="000A5873" w:rsidRDefault="00904382" w:rsidP="00904382">
            <w:pPr>
              <w:spacing w:line="300" w:lineRule="exact"/>
              <w:ind w:left="210" w:hangingChars="100" w:hanging="210"/>
              <w:jc w:val="right"/>
            </w:pPr>
            <w:r w:rsidRPr="000A5873">
              <w:rPr>
                <w:rFonts w:hint="eastAsia"/>
              </w:rPr>
              <w:t>1,005</w:t>
            </w:r>
          </w:p>
          <w:p w:rsidR="00BF7D31" w:rsidRPr="000A5873" w:rsidRDefault="00BF7D31" w:rsidP="00904382">
            <w:pPr>
              <w:spacing w:line="300" w:lineRule="exact"/>
              <w:ind w:left="210" w:hangingChars="100" w:hanging="210"/>
              <w:jc w:val="right"/>
            </w:pPr>
          </w:p>
          <w:p w:rsidR="00021560" w:rsidRPr="000A5873" w:rsidRDefault="0057141F" w:rsidP="00904382">
            <w:pPr>
              <w:spacing w:line="300" w:lineRule="exact"/>
              <w:ind w:left="210" w:hangingChars="100" w:hanging="210"/>
              <w:jc w:val="right"/>
            </w:pPr>
            <w:r w:rsidRPr="000A5873">
              <w:rPr>
                <w:rFonts w:hint="eastAsia"/>
              </w:rPr>
              <w:t>168</w:t>
            </w:r>
          </w:p>
          <w:p w:rsidR="0057141F" w:rsidRPr="000A5873" w:rsidRDefault="00D35D91" w:rsidP="00904382">
            <w:pPr>
              <w:spacing w:line="300" w:lineRule="exact"/>
              <w:ind w:left="210" w:hangingChars="100" w:hanging="210"/>
              <w:jc w:val="right"/>
            </w:pPr>
            <w:r w:rsidRPr="000A5873">
              <w:rPr>
                <w:rFonts w:hint="eastAsia"/>
              </w:rPr>
              <w:t>14.5</w:t>
            </w:r>
          </w:p>
          <w:p w:rsidR="00FF232C" w:rsidRPr="000A5873" w:rsidRDefault="00FF232C" w:rsidP="00904382">
            <w:pPr>
              <w:spacing w:line="300" w:lineRule="exact"/>
              <w:ind w:left="210" w:hangingChars="100" w:hanging="210"/>
              <w:jc w:val="right"/>
            </w:pPr>
            <w:r w:rsidRPr="000A5873">
              <w:rPr>
                <w:rFonts w:hint="eastAsia"/>
              </w:rPr>
              <w:t>11.6</w:t>
            </w:r>
          </w:p>
          <w:p w:rsidR="00FF232C" w:rsidRPr="000A5873" w:rsidRDefault="00F321C8" w:rsidP="00904382">
            <w:pPr>
              <w:spacing w:line="300" w:lineRule="exact"/>
              <w:ind w:left="210" w:hangingChars="100" w:hanging="210"/>
              <w:jc w:val="right"/>
            </w:pPr>
            <w:r w:rsidRPr="000A5873">
              <w:rPr>
                <w:rFonts w:hint="eastAsia"/>
              </w:rPr>
              <w:t>16.4</w:t>
            </w:r>
          </w:p>
          <w:p w:rsidR="00F321C8" w:rsidRPr="000A5873" w:rsidRDefault="00F321C8" w:rsidP="00904382">
            <w:pPr>
              <w:spacing w:line="300" w:lineRule="exact"/>
              <w:ind w:left="210" w:hangingChars="100" w:hanging="210"/>
              <w:jc w:val="right"/>
            </w:pPr>
            <w:r w:rsidRPr="000A5873">
              <w:rPr>
                <w:rFonts w:hint="eastAsia"/>
              </w:rPr>
              <w:t>134</w:t>
            </w:r>
          </w:p>
          <w:p w:rsidR="00F321C8" w:rsidRPr="000A5873" w:rsidRDefault="00F321C8" w:rsidP="00904382">
            <w:pPr>
              <w:spacing w:line="300" w:lineRule="exact"/>
              <w:ind w:left="210" w:hangingChars="100" w:hanging="210"/>
              <w:jc w:val="right"/>
            </w:pPr>
            <w:r w:rsidRPr="000A5873">
              <w:rPr>
                <w:rFonts w:hint="eastAsia"/>
              </w:rPr>
              <w:t>33.6</w:t>
            </w:r>
          </w:p>
          <w:p w:rsidR="00F321C8" w:rsidRPr="000A5873" w:rsidRDefault="00F321C8" w:rsidP="00904382">
            <w:pPr>
              <w:spacing w:line="300" w:lineRule="exact"/>
              <w:ind w:left="210" w:hangingChars="100" w:hanging="210"/>
              <w:jc w:val="right"/>
            </w:pPr>
            <w:r w:rsidRPr="000A5873">
              <w:rPr>
                <w:rFonts w:hint="eastAsia"/>
              </w:rPr>
              <w:t>-</w:t>
            </w:r>
          </w:p>
          <w:p w:rsidR="00F321C8" w:rsidRPr="000A5873" w:rsidRDefault="00F321C8" w:rsidP="00904382">
            <w:pPr>
              <w:spacing w:line="300" w:lineRule="exact"/>
              <w:ind w:left="210" w:hangingChars="100" w:hanging="210"/>
              <w:jc w:val="right"/>
            </w:pPr>
            <w:r w:rsidRPr="000A5873">
              <w:rPr>
                <w:rFonts w:hint="eastAsia"/>
              </w:rPr>
              <w:t>6.2</w:t>
            </w:r>
          </w:p>
          <w:p w:rsidR="00F321C8" w:rsidRPr="000A5873" w:rsidRDefault="00F321C8" w:rsidP="00904382">
            <w:pPr>
              <w:spacing w:line="300" w:lineRule="exact"/>
              <w:ind w:left="210" w:hangingChars="100" w:hanging="210"/>
              <w:jc w:val="right"/>
            </w:pPr>
            <w:r w:rsidRPr="000A5873">
              <w:rPr>
                <w:rFonts w:hint="eastAsia"/>
              </w:rPr>
              <w:t>0.41</w:t>
            </w:r>
            <w:r w:rsidRPr="000A5873">
              <w:rPr>
                <w:rFonts w:hint="eastAsia"/>
              </w:rPr>
              <w:t>～</w:t>
            </w:r>
            <w:r w:rsidRPr="000A5873">
              <w:rPr>
                <w:rFonts w:hint="eastAsia"/>
              </w:rPr>
              <w:t>1.91</w:t>
            </w:r>
          </w:p>
          <w:p w:rsidR="00F321C8" w:rsidRPr="000A5873" w:rsidRDefault="00F321C8" w:rsidP="00904382">
            <w:pPr>
              <w:spacing w:line="300" w:lineRule="exact"/>
              <w:ind w:left="210" w:hangingChars="100" w:hanging="210"/>
              <w:jc w:val="right"/>
            </w:pPr>
            <w:r w:rsidRPr="000A5873">
              <w:rPr>
                <w:rFonts w:hint="eastAsia"/>
              </w:rPr>
              <w:t>-</w:t>
            </w:r>
          </w:p>
        </w:tc>
        <w:tc>
          <w:tcPr>
            <w:tcW w:w="1029" w:type="dxa"/>
          </w:tcPr>
          <w:p w:rsidR="00064291" w:rsidRDefault="007C75AF" w:rsidP="00904382">
            <w:pPr>
              <w:spacing w:line="300" w:lineRule="exact"/>
              <w:ind w:left="210" w:hangingChars="100" w:hanging="210"/>
              <w:jc w:val="right"/>
            </w:pPr>
            <w:r>
              <w:rPr>
                <w:rFonts w:hint="eastAsia"/>
              </w:rPr>
              <w:t>70.2</w:t>
            </w:r>
          </w:p>
          <w:p w:rsidR="007C75AF" w:rsidRDefault="007C75AF" w:rsidP="00904382">
            <w:pPr>
              <w:spacing w:line="300" w:lineRule="exact"/>
              <w:ind w:left="210" w:hangingChars="100" w:hanging="210"/>
              <w:jc w:val="right"/>
            </w:pPr>
            <w:r>
              <w:rPr>
                <w:rFonts w:hint="eastAsia"/>
              </w:rPr>
              <w:t>8.1</w:t>
            </w:r>
          </w:p>
          <w:p w:rsidR="007C75AF" w:rsidRDefault="007C75AF" w:rsidP="00904382">
            <w:pPr>
              <w:spacing w:line="300" w:lineRule="exact"/>
              <w:ind w:left="210" w:hangingChars="100" w:hanging="210"/>
              <w:jc w:val="right"/>
            </w:pPr>
            <w:r>
              <w:rPr>
                <w:rFonts w:hint="eastAsia"/>
              </w:rPr>
              <w:t>10.2</w:t>
            </w:r>
          </w:p>
          <w:p w:rsidR="007C75AF" w:rsidRDefault="007C75AF" w:rsidP="00904382">
            <w:pPr>
              <w:spacing w:line="300" w:lineRule="exact"/>
              <w:ind w:left="210" w:hangingChars="100" w:hanging="210"/>
              <w:jc w:val="right"/>
            </w:pPr>
            <w:r>
              <w:rPr>
                <w:rFonts w:hint="eastAsia"/>
              </w:rPr>
              <w:t>65.5</w:t>
            </w:r>
          </w:p>
          <w:p w:rsidR="007C75AF" w:rsidRDefault="007C75AF" w:rsidP="00904382">
            <w:pPr>
              <w:spacing w:line="300" w:lineRule="exact"/>
              <w:ind w:left="210" w:hangingChars="100" w:hanging="210"/>
              <w:jc w:val="right"/>
            </w:pPr>
          </w:p>
          <w:p w:rsidR="007C75AF" w:rsidRDefault="007C75AF" w:rsidP="00904382">
            <w:pPr>
              <w:spacing w:line="300" w:lineRule="exact"/>
              <w:ind w:left="210" w:hangingChars="100" w:hanging="210"/>
              <w:jc w:val="right"/>
            </w:pPr>
            <w:r w:rsidRPr="007C75AF">
              <w:t>112.8</w:t>
            </w:r>
          </w:p>
          <w:p w:rsidR="008D4AB3" w:rsidRPr="000A5873" w:rsidRDefault="007C75AF" w:rsidP="00904382">
            <w:pPr>
              <w:spacing w:line="300" w:lineRule="exact"/>
              <w:ind w:left="210" w:hangingChars="100" w:hanging="210"/>
              <w:jc w:val="right"/>
            </w:pPr>
            <w:r>
              <w:rPr>
                <w:rFonts w:hint="eastAsia"/>
              </w:rPr>
              <w:t>66.4</w:t>
            </w:r>
          </w:p>
        </w:tc>
      </w:tr>
      <w:tr w:rsidR="00A44484" w:rsidRPr="000A5873" w:rsidTr="00A44484">
        <w:trPr>
          <w:cantSplit/>
          <w:trHeight w:val="1134"/>
        </w:trPr>
        <w:tc>
          <w:tcPr>
            <w:tcW w:w="582" w:type="dxa"/>
            <w:textDirection w:val="tbRlV"/>
            <w:vAlign w:val="center"/>
          </w:tcPr>
          <w:p w:rsidR="00A44484" w:rsidRPr="000A5873" w:rsidRDefault="00A44484" w:rsidP="007A37C7">
            <w:pPr>
              <w:ind w:left="113" w:right="113"/>
              <w:jc w:val="center"/>
            </w:pPr>
            <w:r w:rsidRPr="000A5873">
              <w:rPr>
                <w:rFonts w:hint="eastAsia"/>
              </w:rPr>
              <w:t>家庭部門</w:t>
            </w:r>
          </w:p>
        </w:tc>
        <w:tc>
          <w:tcPr>
            <w:tcW w:w="7323" w:type="dxa"/>
          </w:tcPr>
          <w:p w:rsidR="00A44484" w:rsidRPr="000A5873" w:rsidRDefault="00A44484" w:rsidP="004C064A">
            <w:pPr>
              <w:spacing w:line="300" w:lineRule="exact"/>
              <w:ind w:left="210" w:hangingChars="100" w:hanging="210"/>
            </w:pPr>
            <w:r w:rsidRPr="000A5873">
              <w:rPr>
                <w:rFonts w:hint="eastAsia"/>
              </w:rPr>
              <w:t>・新築住宅における省エネ基準適合の推進</w:t>
            </w:r>
          </w:p>
          <w:p w:rsidR="00A44484" w:rsidRPr="000A5873" w:rsidRDefault="00A44484" w:rsidP="004C064A">
            <w:pPr>
              <w:spacing w:line="300" w:lineRule="exact"/>
              <w:ind w:left="210" w:hangingChars="100" w:hanging="210"/>
            </w:pPr>
            <w:r w:rsidRPr="000A5873">
              <w:rPr>
                <w:rFonts w:hint="eastAsia"/>
              </w:rPr>
              <w:t>・既築住宅の断熱改修の推進</w:t>
            </w:r>
          </w:p>
          <w:p w:rsidR="0009711B" w:rsidRPr="000A5873" w:rsidRDefault="00A44484" w:rsidP="004C064A">
            <w:pPr>
              <w:spacing w:line="300" w:lineRule="exact"/>
              <w:ind w:left="210" w:hangingChars="100" w:hanging="210"/>
            </w:pPr>
            <w:r w:rsidRPr="000A5873">
              <w:rPr>
                <w:rFonts w:hint="eastAsia"/>
              </w:rPr>
              <w:t>・高効率給湯器の導入</w:t>
            </w:r>
          </w:p>
          <w:p w:rsidR="00A44484" w:rsidRPr="000A5873" w:rsidRDefault="00A44484" w:rsidP="004C064A">
            <w:pPr>
              <w:spacing w:line="300" w:lineRule="exact"/>
              <w:ind w:left="210" w:hangingChars="100" w:hanging="210"/>
            </w:pPr>
            <w:r w:rsidRPr="000A5873">
              <w:rPr>
                <w:rFonts w:hint="eastAsia"/>
              </w:rPr>
              <w:t>・高効率照明の導入</w:t>
            </w:r>
          </w:p>
          <w:p w:rsidR="00A44484" w:rsidRPr="000A5873" w:rsidRDefault="00A44484" w:rsidP="004C064A">
            <w:pPr>
              <w:spacing w:line="300" w:lineRule="exact"/>
              <w:ind w:left="210" w:hangingChars="100" w:hanging="210"/>
            </w:pPr>
            <w:r w:rsidRPr="000A5873">
              <w:rPr>
                <w:rFonts w:hint="eastAsia"/>
              </w:rPr>
              <w:t>・トップランナー制度等による機器の省エネ性能向上</w:t>
            </w:r>
          </w:p>
          <w:p w:rsidR="00A44484" w:rsidRPr="000A5873" w:rsidRDefault="00A44484" w:rsidP="004C064A">
            <w:pPr>
              <w:spacing w:line="300" w:lineRule="exact"/>
              <w:ind w:left="210" w:hangingChars="100" w:hanging="210"/>
            </w:pPr>
            <w:r w:rsidRPr="000A5873">
              <w:rPr>
                <w:rFonts w:hint="eastAsia"/>
              </w:rPr>
              <w:t>・</w:t>
            </w:r>
            <w:r w:rsidRPr="000A5873">
              <w:rPr>
                <w:rFonts w:hint="eastAsia"/>
              </w:rPr>
              <w:t>HEMS</w:t>
            </w:r>
            <w:r w:rsidRPr="000A5873">
              <w:rPr>
                <w:rFonts w:hint="eastAsia"/>
              </w:rPr>
              <w:t>・スマートメーターを利用した家庭部門における徹底的なエネルギー管理の実施</w:t>
            </w:r>
          </w:p>
          <w:p w:rsidR="00FF232C" w:rsidRPr="000A5873" w:rsidRDefault="00FF232C" w:rsidP="004C064A">
            <w:pPr>
              <w:spacing w:line="300" w:lineRule="exact"/>
              <w:ind w:left="210" w:hangingChars="100" w:hanging="210"/>
            </w:pPr>
            <w:r w:rsidRPr="000A5873">
              <w:rPr>
                <w:rFonts w:hint="eastAsia"/>
              </w:rPr>
              <w:t>・</w:t>
            </w:r>
            <w:r w:rsidR="00A44484" w:rsidRPr="000A5873">
              <w:rPr>
                <w:rFonts w:hint="eastAsia"/>
              </w:rPr>
              <w:t>クールビズ</w:t>
            </w:r>
            <w:r w:rsidRPr="000A5873">
              <w:rPr>
                <w:rFonts w:hint="eastAsia"/>
              </w:rPr>
              <w:t>の実施徹底の促進</w:t>
            </w:r>
          </w:p>
          <w:p w:rsidR="00FF232C" w:rsidRPr="000A5873" w:rsidRDefault="00A44484" w:rsidP="004C064A">
            <w:pPr>
              <w:spacing w:line="300" w:lineRule="exact"/>
              <w:ind w:left="210" w:hangingChars="100" w:hanging="210"/>
            </w:pPr>
            <w:r w:rsidRPr="000A5873">
              <w:rPr>
                <w:rFonts w:hint="eastAsia"/>
              </w:rPr>
              <w:t>・ウォームビズの実施徹底の促進</w:t>
            </w:r>
          </w:p>
          <w:p w:rsidR="00FF232C" w:rsidRPr="000A5873" w:rsidRDefault="00FF232C" w:rsidP="004C064A">
            <w:pPr>
              <w:spacing w:line="300" w:lineRule="exact"/>
              <w:ind w:left="210" w:hangingChars="100" w:hanging="210"/>
            </w:pPr>
            <w:r w:rsidRPr="000A5873">
              <w:rPr>
                <w:rFonts w:hint="eastAsia"/>
              </w:rPr>
              <w:t>・機器の買換え促進</w:t>
            </w:r>
          </w:p>
          <w:p w:rsidR="00A44484" w:rsidRPr="000A5873" w:rsidRDefault="00FF232C" w:rsidP="004C064A">
            <w:pPr>
              <w:spacing w:line="300" w:lineRule="exact"/>
              <w:ind w:left="210" w:hangingChars="100" w:hanging="210"/>
            </w:pPr>
            <w:r w:rsidRPr="000A5873">
              <w:rPr>
                <w:rFonts w:hint="eastAsia"/>
              </w:rPr>
              <w:t>・家庭エコ診断</w:t>
            </w:r>
          </w:p>
          <w:p w:rsidR="00A44484" w:rsidRPr="000A5873" w:rsidRDefault="00A44484" w:rsidP="004C064A">
            <w:pPr>
              <w:spacing w:line="300" w:lineRule="exact"/>
              <w:ind w:left="210" w:hangingChars="100" w:hanging="210"/>
            </w:pPr>
            <w:r w:rsidRPr="000A5873">
              <w:rPr>
                <w:rFonts w:hint="eastAsia"/>
              </w:rPr>
              <w:t>・浄化槽の省エネルギー化</w:t>
            </w:r>
          </w:p>
          <w:p w:rsidR="00A44484" w:rsidRPr="000A5873" w:rsidRDefault="00A44484" w:rsidP="004C064A">
            <w:pPr>
              <w:spacing w:line="300" w:lineRule="exact"/>
              <w:ind w:left="210" w:hangingChars="100" w:hanging="210"/>
            </w:pPr>
            <w:r w:rsidRPr="000A5873">
              <w:rPr>
                <w:rFonts w:hint="eastAsia"/>
              </w:rPr>
              <w:t>・温暖化対策ロードマップ等による各省連携施策の計画的な推進</w:t>
            </w:r>
          </w:p>
        </w:tc>
        <w:tc>
          <w:tcPr>
            <w:tcW w:w="1028" w:type="dxa"/>
          </w:tcPr>
          <w:p w:rsidR="00A44484" w:rsidRPr="000A5873" w:rsidRDefault="0009711B" w:rsidP="00904382">
            <w:pPr>
              <w:spacing w:line="300" w:lineRule="exact"/>
              <w:ind w:left="210" w:hangingChars="100" w:hanging="210"/>
              <w:jc w:val="right"/>
            </w:pPr>
            <w:r w:rsidRPr="000A5873">
              <w:rPr>
                <w:rFonts w:hint="eastAsia"/>
              </w:rPr>
              <w:t>872</w:t>
            </w:r>
          </w:p>
          <w:p w:rsidR="0009711B" w:rsidRPr="000A5873" w:rsidRDefault="0009711B" w:rsidP="00904382">
            <w:pPr>
              <w:spacing w:line="300" w:lineRule="exact"/>
              <w:ind w:left="210" w:hangingChars="100" w:hanging="210"/>
              <w:jc w:val="right"/>
            </w:pPr>
            <w:r w:rsidRPr="000A5873">
              <w:rPr>
                <w:rFonts w:hint="eastAsia"/>
              </w:rPr>
              <w:t>119</w:t>
            </w:r>
          </w:p>
          <w:p w:rsidR="0009711B" w:rsidRPr="000A5873" w:rsidRDefault="0009711B" w:rsidP="00904382">
            <w:pPr>
              <w:spacing w:line="300" w:lineRule="exact"/>
              <w:ind w:left="210" w:hangingChars="100" w:hanging="210"/>
              <w:jc w:val="right"/>
            </w:pPr>
            <w:r w:rsidRPr="000A5873">
              <w:rPr>
                <w:rFonts w:hint="eastAsia"/>
              </w:rPr>
              <w:t>617</w:t>
            </w:r>
          </w:p>
          <w:p w:rsidR="0009711B" w:rsidRPr="000A5873" w:rsidRDefault="0009711B" w:rsidP="00904382">
            <w:pPr>
              <w:spacing w:line="300" w:lineRule="exact"/>
              <w:ind w:left="210" w:hangingChars="100" w:hanging="210"/>
              <w:jc w:val="right"/>
            </w:pPr>
            <w:r w:rsidRPr="000A5873">
              <w:rPr>
                <w:rFonts w:hint="eastAsia"/>
              </w:rPr>
              <w:t>907</w:t>
            </w:r>
          </w:p>
          <w:p w:rsidR="0009711B" w:rsidRPr="000A5873" w:rsidRDefault="00667569" w:rsidP="00904382">
            <w:pPr>
              <w:spacing w:line="300" w:lineRule="exact"/>
              <w:ind w:left="210" w:hangingChars="100" w:hanging="210"/>
              <w:jc w:val="right"/>
            </w:pPr>
            <w:r w:rsidRPr="000A5873">
              <w:rPr>
                <w:rFonts w:hint="eastAsia"/>
              </w:rPr>
              <w:t>483</w:t>
            </w:r>
          </w:p>
          <w:p w:rsidR="0009711B" w:rsidRPr="000A5873" w:rsidRDefault="0009711B" w:rsidP="00904382">
            <w:pPr>
              <w:spacing w:line="300" w:lineRule="exact"/>
              <w:ind w:left="210" w:hangingChars="100" w:hanging="210"/>
              <w:jc w:val="right"/>
            </w:pPr>
            <w:r w:rsidRPr="000A5873">
              <w:rPr>
                <w:rFonts w:hint="eastAsia"/>
              </w:rPr>
              <w:t>710</w:t>
            </w:r>
          </w:p>
          <w:p w:rsidR="0009711B" w:rsidRPr="000A5873" w:rsidRDefault="0009711B" w:rsidP="00904382">
            <w:pPr>
              <w:spacing w:line="300" w:lineRule="exact"/>
              <w:ind w:left="210" w:hangingChars="100" w:hanging="210"/>
              <w:jc w:val="right"/>
            </w:pPr>
          </w:p>
          <w:p w:rsidR="00FF232C" w:rsidRPr="000A5873" w:rsidRDefault="00FF232C" w:rsidP="00904382">
            <w:pPr>
              <w:spacing w:line="300" w:lineRule="exact"/>
              <w:ind w:left="210" w:hangingChars="100" w:hanging="210"/>
              <w:jc w:val="right"/>
            </w:pPr>
            <w:r w:rsidRPr="000A5873">
              <w:rPr>
                <w:rFonts w:hint="eastAsia"/>
              </w:rPr>
              <w:t>15</w:t>
            </w:r>
          </w:p>
          <w:p w:rsidR="0009711B" w:rsidRPr="000A5873" w:rsidRDefault="00FF232C" w:rsidP="00904382">
            <w:pPr>
              <w:spacing w:line="300" w:lineRule="exact"/>
              <w:ind w:left="210" w:hangingChars="100" w:hanging="210"/>
              <w:jc w:val="right"/>
            </w:pPr>
            <w:r w:rsidRPr="000A5873">
              <w:rPr>
                <w:rFonts w:hint="eastAsia"/>
              </w:rPr>
              <w:t>29.1</w:t>
            </w:r>
          </w:p>
          <w:p w:rsidR="00FF232C" w:rsidRPr="000A5873" w:rsidRDefault="00FF232C" w:rsidP="00904382">
            <w:pPr>
              <w:spacing w:line="300" w:lineRule="exact"/>
              <w:ind w:left="210" w:hangingChars="100" w:hanging="210"/>
              <w:jc w:val="right"/>
            </w:pPr>
            <w:r w:rsidRPr="000A5873">
              <w:rPr>
                <w:rFonts w:hint="eastAsia"/>
              </w:rPr>
              <w:t>11.2</w:t>
            </w:r>
          </w:p>
          <w:p w:rsidR="00FF232C" w:rsidRPr="000A5873" w:rsidRDefault="00FF232C" w:rsidP="00904382">
            <w:pPr>
              <w:spacing w:line="300" w:lineRule="exact"/>
              <w:ind w:left="210" w:hangingChars="100" w:hanging="210"/>
              <w:jc w:val="right"/>
            </w:pPr>
            <w:r w:rsidRPr="000A5873">
              <w:rPr>
                <w:rFonts w:hint="eastAsia"/>
              </w:rPr>
              <w:t>13.7</w:t>
            </w:r>
          </w:p>
          <w:p w:rsidR="00D35D91" w:rsidRDefault="00D35D91" w:rsidP="00904382">
            <w:pPr>
              <w:spacing w:line="300" w:lineRule="exact"/>
              <w:ind w:left="210" w:hangingChars="100" w:hanging="210"/>
              <w:jc w:val="right"/>
            </w:pPr>
            <w:r w:rsidRPr="000A5873">
              <w:rPr>
                <w:rFonts w:hint="eastAsia"/>
              </w:rPr>
              <w:t>3.9</w:t>
            </w:r>
          </w:p>
          <w:p w:rsidR="000A5873" w:rsidRPr="000A5873" w:rsidRDefault="000A5873" w:rsidP="00904382">
            <w:pPr>
              <w:spacing w:line="300" w:lineRule="exact"/>
              <w:ind w:left="210" w:hangingChars="100" w:hanging="210"/>
              <w:jc w:val="right"/>
            </w:pPr>
            <w:r>
              <w:rPr>
                <w:rFonts w:hint="eastAsia"/>
              </w:rPr>
              <w:t>-</w:t>
            </w:r>
          </w:p>
        </w:tc>
        <w:tc>
          <w:tcPr>
            <w:tcW w:w="1029" w:type="dxa"/>
          </w:tcPr>
          <w:p w:rsidR="00A44484" w:rsidRDefault="0082748A" w:rsidP="00904382">
            <w:pPr>
              <w:spacing w:line="300" w:lineRule="exact"/>
              <w:ind w:left="210" w:hangingChars="100" w:hanging="210"/>
              <w:jc w:val="right"/>
            </w:pPr>
            <w:r>
              <w:rPr>
                <w:rFonts w:hint="eastAsia"/>
              </w:rPr>
              <w:t>52.9</w:t>
            </w:r>
          </w:p>
          <w:p w:rsidR="0082748A" w:rsidRDefault="0082748A" w:rsidP="00904382">
            <w:pPr>
              <w:spacing w:line="300" w:lineRule="exact"/>
              <w:ind w:left="210" w:hangingChars="100" w:hanging="210"/>
              <w:jc w:val="right"/>
            </w:pPr>
            <w:r>
              <w:rPr>
                <w:rFonts w:hint="eastAsia"/>
              </w:rPr>
              <w:t>8.9</w:t>
            </w:r>
          </w:p>
          <w:p w:rsidR="007C75AF" w:rsidRDefault="0082748A" w:rsidP="00904382">
            <w:pPr>
              <w:spacing w:line="300" w:lineRule="exact"/>
              <w:ind w:left="210" w:hangingChars="100" w:hanging="210"/>
              <w:jc w:val="right"/>
            </w:pPr>
            <w:r>
              <w:rPr>
                <w:rFonts w:hint="eastAsia"/>
              </w:rPr>
              <w:t>46.0</w:t>
            </w:r>
          </w:p>
          <w:p w:rsidR="0082748A" w:rsidRDefault="0082748A" w:rsidP="00904382">
            <w:pPr>
              <w:spacing w:line="300" w:lineRule="exact"/>
              <w:ind w:left="210" w:hangingChars="100" w:hanging="210"/>
              <w:jc w:val="right"/>
            </w:pPr>
            <w:r>
              <w:rPr>
                <w:rFonts w:hint="eastAsia"/>
              </w:rPr>
              <w:t>67.6</w:t>
            </w:r>
          </w:p>
          <w:p w:rsidR="0082748A" w:rsidRDefault="0082748A" w:rsidP="00904382">
            <w:pPr>
              <w:spacing w:line="300" w:lineRule="exact"/>
              <w:ind w:left="210" w:hangingChars="100" w:hanging="210"/>
              <w:jc w:val="right"/>
            </w:pPr>
            <w:r>
              <w:rPr>
                <w:rFonts w:hint="eastAsia"/>
              </w:rPr>
              <w:t>36.0</w:t>
            </w:r>
          </w:p>
          <w:p w:rsidR="0082748A" w:rsidRDefault="0082748A" w:rsidP="00904382">
            <w:pPr>
              <w:spacing w:line="300" w:lineRule="exact"/>
              <w:ind w:left="210" w:hangingChars="100" w:hanging="210"/>
              <w:jc w:val="right"/>
            </w:pPr>
            <w:r>
              <w:rPr>
                <w:rFonts w:hint="eastAsia"/>
              </w:rPr>
              <w:t>52.9</w:t>
            </w:r>
          </w:p>
          <w:p w:rsidR="0082748A" w:rsidRDefault="0082748A" w:rsidP="00904382">
            <w:pPr>
              <w:spacing w:line="300" w:lineRule="exact"/>
              <w:ind w:left="210" w:hangingChars="100" w:hanging="210"/>
              <w:jc w:val="right"/>
            </w:pPr>
          </w:p>
          <w:p w:rsidR="0082748A" w:rsidRPr="000A5873" w:rsidRDefault="0082748A" w:rsidP="00904382">
            <w:pPr>
              <w:spacing w:line="300" w:lineRule="exact"/>
              <w:ind w:left="210" w:hangingChars="100" w:hanging="210"/>
              <w:jc w:val="right"/>
            </w:pPr>
          </w:p>
        </w:tc>
      </w:tr>
    </w:tbl>
    <w:p w:rsidR="00F64B72" w:rsidRDefault="00064291" w:rsidP="00A54583">
      <w:r w:rsidRPr="00352F4B">
        <w:rPr>
          <w:rFonts w:hint="eastAsia"/>
          <w:color w:val="000000" w:themeColor="text1"/>
        </w:rPr>
        <w:t>出</w:t>
      </w:r>
      <w:r w:rsidR="00024D21" w:rsidRPr="00352F4B">
        <w:rPr>
          <w:rFonts w:hint="eastAsia"/>
          <w:color w:val="000000" w:themeColor="text1"/>
        </w:rPr>
        <w:t>典</w:t>
      </w:r>
      <w:r w:rsidRPr="00352F4B">
        <w:rPr>
          <w:rFonts w:hint="eastAsia"/>
          <w:color w:val="000000" w:themeColor="text1"/>
        </w:rPr>
        <w:t>：</w:t>
      </w:r>
      <w:bookmarkStart w:id="2" w:name="_GoBack"/>
      <w:bookmarkEnd w:id="2"/>
      <w:r w:rsidR="00A54583">
        <w:rPr>
          <w:rFonts w:hint="eastAsia"/>
        </w:rPr>
        <w:t>「</w:t>
      </w:r>
      <w:r w:rsidRPr="00014F0B">
        <w:rPr>
          <w:rFonts w:hint="eastAsia"/>
        </w:rPr>
        <w:t>日本の約束草案</w:t>
      </w:r>
      <w:r>
        <w:rPr>
          <w:rFonts w:hint="eastAsia"/>
        </w:rPr>
        <w:t>（</w:t>
      </w:r>
      <w:r>
        <w:rPr>
          <w:rFonts w:hint="eastAsia"/>
        </w:rPr>
        <w:t>2015</w:t>
      </w:r>
      <w:r>
        <w:rPr>
          <w:rFonts w:hint="eastAsia"/>
        </w:rPr>
        <w:t>年</w:t>
      </w:r>
      <w:r>
        <w:rPr>
          <w:rFonts w:hint="eastAsia"/>
        </w:rPr>
        <w:t>7</w:t>
      </w:r>
      <w:r>
        <w:rPr>
          <w:rFonts w:hint="eastAsia"/>
        </w:rPr>
        <w:t>月</w:t>
      </w:r>
      <w:r>
        <w:rPr>
          <w:rFonts w:hint="eastAsia"/>
        </w:rPr>
        <w:t>17</w:t>
      </w:r>
      <w:r>
        <w:rPr>
          <w:rFonts w:hint="eastAsia"/>
        </w:rPr>
        <w:t>日</w:t>
      </w:r>
      <w:r w:rsidRPr="009F3219">
        <w:rPr>
          <w:rFonts w:hint="eastAsia"/>
        </w:rPr>
        <w:t>地球温暖化対策推進本部</w:t>
      </w:r>
      <w:r>
        <w:rPr>
          <w:rFonts w:hint="eastAsia"/>
        </w:rPr>
        <w:t>）</w:t>
      </w:r>
      <w:r w:rsidRPr="00014F0B">
        <w:rPr>
          <w:rFonts w:hint="eastAsia"/>
        </w:rPr>
        <w:t>別添</w:t>
      </w:r>
      <w:r>
        <w:rPr>
          <w:rFonts w:hint="eastAsia"/>
        </w:rPr>
        <w:t>参考資料</w:t>
      </w:r>
      <w:r w:rsidR="00A54583">
        <w:rPr>
          <w:rFonts w:hint="eastAsia"/>
        </w:rPr>
        <w:t>」</w:t>
      </w:r>
      <w:r>
        <w:rPr>
          <w:rFonts w:hint="eastAsia"/>
        </w:rPr>
        <w:t>を基に大阪府が作成</w:t>
      </w:r>
      <w:r w:rsidR="00A54583">
        <w:rPr>
          <w:rFonts w:hint="eastAsia"/>
        </w:rPr>
        <w:t>。</w:t>
      </w:r>
      <w:r w:rsidR="00A54583" w:rsidRPr="004D31D7">
        <w:rPr>
          <w:rFonts w:hint="eastAsia"/>
        </w:rPr>
        <w:t>地球温暖化対策計画（平成</w:t>
      </w:r>
      <w:r w:rsidR="00A54583" w:rsidRPr="004D31D7">
        <w:rPr>
          <w:rFonts w:hint="eastAsia"/>
        </w:rPr>
        <w:t>28</w:t>
      </w:r>
      <w:r w:rsidR="00A54583" w:rsidRPr="004D31D7">
        <w:rPr>
          <w:rFonts w:hint="eastAsia"/>
        </w:rPr>
        <w:t>年５月</w:t>
      </w:r>
      <w:r w:rsidR="00A54583" w:rsidRPr="004D31D7">
        <w:rPr>
          <w:rFonts w:hint="eastAsia"/>
        </w:rPr>
        <w:t>13</w:t>
      </w:r>
      <w:r w:rsidR="00A54583" w:rsidRPr="004D31D7">
        <w:rPr>
          <w:rFonts w:hint="eastAsia"/>
        </w:rPr>
        <w:t>日閣議決定）</w:t>
      </w:r>
      <w:r w:rsidR="00D67AFB">
        <w:rPr>
          <w:rFonts w:hint="eastAsia"/>
        </w:rPr>
        <w:t>における対策の削減量の根拠となった</w:t>
      </w:r>
      <w:r w:rsidR="00F64B72" w:rsidRPr="00F64B72">
        <w:rPr>
          <w:rFonts w:hint="eastAsia"/>
        </w:rPr>
        <w:t>「業務その他部門」と「家庭部門」</w:t>
      </w:r>
      <w:r w:rsidR="00F64B72">
        <w:rPr>
          <w:rFonts w:hint="eastAsia"/>
        </w:rPr>
        <w:t>に関する</w:t>
      </w:r>
      <w:r w:rsidR="00F64B72" w:rsidRPr="00F64B72">
        <w:rPr>
          <w:rFonts w:hint="eastAsia"/>
        </w:rPr>
        <w:t>対策・施策</w:t>
      </w:r>
      <w:r w:rsidR="00A44484">
        <w:rPr>
          <w:rFonts w:hint="eastAsia"/>
        </w:rPr>
        <w:t>及び</w:t>
      </w:r>
      <w:r w:rsidR="005F11EC">
        <w:rPr>
          <w:rFonts w:hint="eastAsia"/>
        </w:rPr>
        <w:t>大阪府の推計</w:t>
      </w:r>
      <w:r w:rsidR="00F64B72">
        <w:rPr>
          <w:rFonts w:hint="eastAsia"/>
        </w:rPr>
        <w:t>は、</w:t>
      </w:r>
      <w:r w:rsidR="0086426C">
        <w:rPr>
          <w:rFonts w:hint="eastAsia"/>
        </w:rPr>
        <w:t>参考資料</w:t>
      </w:r>
      <w:r w:rsidR="00077A9C">
        <w:rPr>
          <w:rFonts w:hint="eastAsia"/>
        </w:rPr>
        <w:t>２</w:t>
      </w:r>
      <w:r>
        <w:rPr>
          <w:rFonts w:hint="eastAsia"/>
        </w:rPr>
        <w:t>－</w:t>
      </w:r>
      <w:r w:rsidR="00077A9C">
        <w:rPr>
          <w:rFonts w:hint="eastAsia"/>
        </w:rPr>
        <w:t>３</w:t>
      </w:r>
      <w:r w:rsidR="0055366F">
        <w:rPr>
          <w:rFonts w:hint="eastAsia"/>
        </w:rPr>
        <w:t>のとおり。</w:t>
      </w:r>
    </w:p>
    <w:p w:rsidR="001C52F3" w:rsidRDefault="00064291">
      <w:pPr>
        <w:widowControl/>
        <w:jc w:val="left"/>
        <w:rPr>
          <w:b/>
          <w:sz w:val="24"/>
          <w:szCs w:val="24"/>
        </w:rPr>
      </w:pPr>
      <w:r>
        <w:rPr>
          <w:b/>
          <w:sz w:val="24"/>
          <w:szCs w:val="24"/>
        </w:rPr>
        <w:br w:type="page"/>
      </w:r>
    </w:p>
    <w:p w:rsidR="004E5404" w:rsidRPr="00CF4A88" w:rsidRDefault="00FD70FC" w:rsidP="00ED24DD">
      <w:pPr>
        <w:spacing w:beforeLines="100" w:before="360"/>
        <w:ind w:leftChars="50" w:left="105"/>
        <w:rPr>
          <w:b/>
          <w:sz w:val="24"/>
          <w:szCs w:val="24"/>
        </w:rPr>
      </w:pPr>
      <w:r>
        <w:rPr>
          <w:rFonts w:hint="eastAsia"/>
          <w:b/>
          <w:sz w:val="24"/>
          <w:szCs w:val="24"/>
        </w:rPr>
        <w:lastRenderedPageBreak/>
        <w:t>２</w:t>
      </w:r>
      <w:r w:rsidR="004E5404" w:rsidRPr="00CF4A88">
        <w:rPr>
          <w:rFonts w:hint="eastAsia"/>
          <w:b/>
          <w:sz w:val="24"/>
          <w:szCs w:val="24"/>
        </w:rPr>
        <w:t>．</w:t>
      </w:r>
      <w:r w:rsidR="001C6AA9" w:rsidRPr="001C6AA9">
        <w:rPr>
          <w:rFonts w:hint="eastAsia"/>
          <w:b/>
          <w:sz w:val="24"/>
          <w:szCs w:val="24"/>
        </w:rPr>
        <w:t>都市の低炭素化の促進に関する</w:t>
      </w:r>
      <w:r w:rsidR="001C6AA9">
        <w:rPr>
          <w:rFonts w:hint="eastAsia"/>
          <w:b/>
          <w:sz w:val="24"/>
          <w:szCs w:val="24"/>
        </w:rPr>
        <w:t>法律</w:t>
      </w:r>
    </w:p>
    <w:p w:rsidR="00B838C0" w:rsidRDefault="001C6AA9" w:rsidP="00ED24DD">
      <w:pPr>
        <w:ind w:firstLineChars="100" w:firstLine="210"/>
      </w:pPr>
      <w:r w:rsidRPr="001C6AA9">
        <w:rPr>
          <w:rFonts w:hint="eastAsia"/>
        </w:rPr>
        <w:t>都市の低炭素化の促進に関する</w:t>
      </w:r>
      <w:r w:rsidR="003D1F3E">
        <w:rPr>
          <w:rFonts w:hint="eastAsia"/>
        </w:rPr>
        <w:t>法律が</w:t>
      </w:r>
      <w:r w:rsidR="003D1F3E">
        <w:rPr>
          <w:rFonts w:hint="eastAsia"/>
        </w:rPr>
        <w:t>2012</w:t>
      </w:r>
      <w:r w:rsidR="00ED24DD">
        <w:rPr>
          <w:rFonts w:hint="eastAsia"/>
        </w:rPr>
        <w:t>年</w:t>
      </w:r>
      <w:r w:rsidR="00ED24DD">
        <w:rPr>
          <w:rFonts w:hint="eastAsia"/>
        </w:rPr>
        <w:t>12</w:t>
      </w:r>
      <w:r w:rsidR="00ED24DD">
        <w:rPr>
          <w:rFonts w:hint="eastAsia"/>
        </w:rPr>
        <w:t>月</w:t>
      </w:r>
      <w:r w:rsidR="00ED24DD">
        <w:rPr>
          <w:rFonts w:hint="eastAsia"/>
        </w:rPr>
        <w:t>4</w:t>
      </w:r>
      <w:r w:rsidR="00ED24DD">
        <w:rPr>
          <w:rFonts w:hint="eastAsia"/>
        </w:rPr>
        <w:t>日に施行され、同日に公表された都市の低炭素化の促進に関する基本的な方針（平成</w:t>
      </w:r>
      <w:r w:rsidR="00ED24DD">
        <w:rPr>
          <w:rFonts w:hint="eastAsia"/>
        </w:rPr>
        <w:t>24</w:t>
      </w:r>
      <w:r w:rsidR="00ED24DD">
        <w:rPr>
          <w:rFonts w:hint="eastAsia"/>
        </w:rPr>
        <w:t>年経済産業省・国土交通省・環境省告示第</w:t>
      </w:r>
      <w:r w:rsidR="00ED24DD">
        <w:rPr>
          <w:rFonts w:hint="eastAsia"/>
        </w:rPr>
        <w:t>118</w:t>
      </w:r>
      <w:r w:rsidR="00ED24DD">
        <w:rPr>
          <w:rFonts w:hint="eastAsia"/>
        </w:rPr>
        <w:t>号）には、</w:t>
      </w:r>
      <w:r w:rsidR="001C52F3" w:rsidRPr="001C6AA9">
        <w:rPr>
          <w:rFonts w:hint="eastAsia"/>
        </w:rPr>
        <w:t>建築物の低炭素化の促進のための施策の方向性</w:t>
      </w:r>
      <w:r w:rsidR="001C52F3">
        <w:rPr>
          <w:rFonts w:hint="eastAsia"/>
        </w:rPr>
        <w:t>として、</w:t>
      </w:r>
      <w:r w:rsidR="00B838C0">
        <w:rPr>
          <w:rFonts w:hint="eastAsia"/>
        </w:rPr>
        <w:t>次のとおり記載されている。</w:t>
      </w:r>
    </w:p>
    <w:p w:rsidR="009F3219" w:rsidRDefault="009F3219" w:rsidP="00B838C0">
      <w:pPr>
        <w:ind w:leftChars="300" w:left="630" w:firstLineChars="100" w:firstLine="210"/>
      </w:pPr>
      <w:r>
        <w:rPr>
          <w:rFonts w:hint="eastAsia"/>
        </w:rPr>
        <w:t>都市の低炭素化を促進する上では、これまでの建築物を「作っては壊す」社会から、「いいものを作って、きちんと手入れして、長く大切に使う」社会へと移行することが重要であり、このような観点を踏まえ、建築物の低炭素化を促進することとする。</w:t>
      </w:r>
    </w:p>
    <w:p w:rsidR="00560497" w:rsidRDefault="009F3219" w:rsidP="00560497">
      <w:pPr>
        <w:ind w:leftChars="300" w:left="630" w:firstLineChars="100" w:firstLine="210"/>
      </w:pPr>
      <w:r w:rsidRPr="00560497">
        <w:rPr>
          <w:rFonts w:hint="eastAsia"/>
          <w:u w:val="single"/>
        </w:rPr>
        <w:t>新築の建築物については、規制の必要性や程度、バランス等を十分に勘案しながら、</w:t>
      </w:r>
      <w:r w:rsidRPr="00560497">
        <w:rPr>
          <w:rFonts w:hint="eastAsia"/>
          <w:u w:val="single"/>
        </w:rPr>
        <w:t>2020</w:t>
      </w:r>
      <w:r w:rsidR="00560497" w:rsidRPr="00560497">
        <w:rPr>
          <w:rFonts w:hint="eastAsia"/>
          <w:u w:val="single"/>
        </w:rPr>
        <w:t>年までに全ての新築住宅・建築物について、段階的に省エネ基準への適合の義務化を行う</w:t>
      </w:r>
      <w:r w:rsidR="00560497">
        <w:rPr>
          <w:rFonts w:hint="eastAsia"/>
        </w:rPr>
        <w:t>とともに、再生可能エネルギー等の先進的な取組をより評価しやすい評価手法の確立、</w:t>
      </w:r>
      <w:r w:rsidR="00560497" w:rsidRPr="00B838C0">
        <w:rPr>
          <w:rFonts w:hint="eastAsia"/>
        </w:rPr>
        <w:t>省エネルギー性能を表示する制度の構築</w:t>
      </w:r>
      <w:r w:rsidR="00560497">
        <w:rPr>
          <w:rFonts w:hint="eastAsia"/>
        </w:rPr>
        <w:t>、民間等の先導的な低炭素建築物の整備に対する支援等、低炭素化が図られた建築物の普及を図るための環境整備を推進することとする。</w:t>
      </w:r>
    </w:p>
    <w:p w:rsidR="001C52F3" w:rsidRPr="00FD70FC" w:rsidRDefault="001C52F3" w:rsidP="00BA3542">
      <w:pPr>
        <w:ind w:leftChars="300" w:left="630" w:firstLineChars="100" w:firstLine="210"/>
      </w:pPr>
      <w:r w:rsidRPr="00FD70FC">
        <w:rPr>
          <w:rFonts w:hint="eastAsia"/>
        </w:rPr>
        <w:t>・・・</w:t>
      </w:r>
    </w:p>
    <w:p w:rsidR="00560497" w:rsidRPr="00B838C0" w:rsidRDefault="00560497" w:rsidP="00BA3542">
      <w:pPr>
        <w:ind w:leftChars="300" w:left="630" w:firstLineChars="100" w:firstLine="210"/>
        <w:rPr>
          <w:u w:val="single"/>
        </w:rPr>
      </w:pPr>
      <w:r w:rsidRPr="00B838C0">
        <w:rPr>
          <w:rFonts w:hint="eastAsia"/>
          <w:u w:val="single"/>
        </w:rPr>
        <w:t>再生可能エネルギーの導入拡大は、建築物の低炭素化を促進する観点からも重要であり、建築物においては、屋根等に太陽光発電パネルの設置が可能であって、再生可能エネルギーである太陽光発電の活用余地が大きいこともあるため、導入促進に向けた取組を特に推進することとする。</w:t>
      </w:r>
    </w:p>
    <w:p w:rsidR="001C6AA9" w:rsidRPr="00CF4A88" w:rsidRDefault="00FD70FC" w:rsidP="00EE6E26">
      <w:pPr>
        <w:spacing w:beforeLines="100" w:before="360"/>
        <w:rPr>
          <w:b/>
          <w:sz w:val="24"/>
          <w:szCs w:val="24"/>
        </w:rPr>
      </w:pPr>
      <w:r>
        <w:rPr>
          <w:rFonts w:hint="eastAsia"/>
          <w:b/>
          <w:sz w:val="24"/>
          <w:szCs w:val="24"/>
        </w:rPr>
        <w:t>３</w:t>
      </w:r>
      <w:r w:rsidR="001C6AA9" w:rsidRPr="00CF4A88">
        <w:rPr>
          <w:rFonts w:hint="eastAsia"/>
          <w:b/>
          <w:sz w:val="24"/>
          <w:szCs w:val="24"/>
        </w:rPr>
        <w:t>．</w:t>
      </w:r>
      <w:r w:rsidR="005B2794" w:rsidRPr="005B2794">
        <w:rPr>
          <w:rFonts w:hint="eastAsia"/>
          <w:b/>
          <w:sz w:val="24"/>
          <w:szCs w:val="24"/>
        </w:rPr>
        <w:t>建築物のエネルギー消費性能の向上に関する</w:t>
      </w:r>
      <w:r w:rsidR="005B2794">
        <w:rPr>
          <w:rFonts w:hint="eastAsia"/>
          <w:b/>
          <w:sz w:val="24"/>
          <w:szCs w:val="24"/>
        </w:rPr>
        <w:t>法律</w:t>
      </w:r>
    </w:p>
    <w:p w:rsidR="001055F0" w:rsidRDefault="00ED24DD" w:rsidP="00ED24DD">
      <w:pPr>
        <w:ind w:firstLineChars="100" w:firstLine="210"/>
      </w:pPr>
      <w:r w:rsidRPr="00ED24DD">
        <w:rPr>
          <w:rFonts w:hint="eastAsia"/>
        </w:rPr>
        <w:t>建築物のエネルギー消費性能の向上に関する法律</w:t>
      </w:r>
      <w:r w:rsidR="00067233">
        <w:rPr>
          <w:rFonts w:hint="eastAsia"/>
        </w:rPr>
        <w:t>が</w:t>
      </w:r>
      <w:r w:rsidR="00067233">
        <w:rPr>
          <w:rFonts w:hint="eastAsia"/>
        </w:rPr>
        <w:t>2016</w:t>
      </w:r>
      <w:r>
        <w:rPr>
          <w:rFonts w:hint="eastAsia"/>
        </w:rPr>
        <w:t>年</w:t>
      </w:r>
      <w:r>
        <w:rPr>
          <w:rFonts w:hint="eastAsia"/>
        </w:rPr>
        <w:t>4</w:t>
      </w:r>
      <w:r>
        <w:rPr>
          <w:rFonts w:hint="eastAsia"/>
        </w:rPr>
        <w:t>月</w:t>
      </w:r>
      <w:r>
        <w:rPr>
          <w:rFonts w:hint="eastAsia"/>
        </w:rPr>
        <w:t>1</w:t>
      </w:r>
      <w:r>
        <w:rPr>
          <w:rFonts w:hint="eastAsia"/>
        </w:rPr>
        <w:t>日に施行され、同日に公表された</w:t>
      </w:r>
      <w:r w:rsidR="001377E0" w:rsidRPr="001377E0">
        <w:rPr>
          <w:rFonts w:hint="eastAsia"/>
        </w:rPr>
        <w:t>建築物のエネルギー消費性能の向上に関する基本的な方針</w:t>
      </w:r>
      <w:r w:rsidRPr="00ED24DD">
        <w:rPr>
          <w:rFonts w:hint="eastAsia"/>
        </w:rPr>
        <w:t>（平成</w:t>
      </w:r>
      <w:r>
        <w:rPr>
          <w:rFonts w:hint="eastAsia"/>
        </w:rPr>
        <w:t>28</w:t>
      </w:r>
      <w:r w:rsidR="001377E0">
        <w:rPr>
          <w:rFonts w:hint="eastAsia"/>
        </w:rPr>
        <w:t>年</w:t>
      </w:r>
      <w:r>
        <w:rPr>
          <w:rFonts w:hint="eastAsia"/>
        </w:rPr>
        <w:t>国土交通省</w:t>
      </w:r>
      <w:r w:rsidRPr="00ED24DD">
        <w:rPr>
          <w:rFonts w:hint="eastAsia"/>
        </w:rPr>
        <w:t>告示第</w:t>
      </w:r>
      <w:r w:rsidR="001377E0">
        <w:rPr>
          <w:rFonts w:hint="eastAsia"/>
        </w:rPr>
        <w:t>609</w:t>
      </w:r>
      <w:r w:rsidR="001377E0">
        <w:rPr>
          <w:rFonts w:hint="eastAsia"/>
        </w:rPr>
        <w:t>号）には、</w:t>
      </w:r>
      <w:r w:rsidR="00BA3542">
        <w:rPr>
          <w:rFonts w:hint="eastAsia"/>
        </w:rPr>
        <w:t>建築物のエネルギー消費性能の向上の意義として</w:t>
      </w:r>
      <w:r w:rsidRPr="00ED24DD">
        <w:rPr>
          <w:rFonts w:hint="eastAsia"/>
        </w:rPr>
        <w:t>次のとおり記載されている。</w:t>
      </w:r>
    </w:p>
    <w:p w:rsidR="001377E0" w:rsidRPr="001377E0" w:rsidRDefault="001377E0" w:rsidP="00BA3542">
      <w:pPr>
        <w:ind w:leftChars="300" w:left="630" w:firstLineChars="100" w:firstLine="210"/>
        <w:rPr>
          <w:u w:val="single"/>
        </w:rPr>
      </w:pPr>
      <w:r w:rsidRPr="00BA3542">
        <w:rPr>
          <w:rFonts w:hint="eastAsia"/>
        </w:rPr>
        <w:t>エネルギー消費量については、産業部門・運輸部門が減少する中、業務・家庭部門において著しく増加し、現在ではエネルギー消費量全体の３分の１を占めるに至っており、省エネルギー社会を確立していく上では、業務・家庭部門のエネルギー消費量の削減が喫緊の課題となっている。</w:t>
      </w:r>
      <w:r w:rsidRPr="001377E0">
        <w:rPr>
          <w:rFonts w:hint="eastAsia"/>
          <w:u w:val="single"/>
        </w:rPr>
        <w:t>業務・家庭部門において高い省エネルギー効果が期待されるのは、建築物の省エネルギー化であることから、建築物の新築や増改築等の建築行為の機会を捉えて、外壁、窓等の断熱性能等の確保や高効率設備の導入等の省エネルギー化のための措置を講じ、建築物のエネルギー消費性能の向上を図ることが必要である。</w:t>
      </w:r>
    </w:p>
    <w:p w:rsidR="001377E0" w:rsidRDefault="001377E0" w:rsidP="00BA3542">
      <w:pPr>
        <w:ind w:leftChars="300" w:left="630" w:firstLineChars="100" w:firstLine="210"/>
      </w:pPr>
      <w:r>
        <w:rPr>
          <w:rFonts w:hint="eastAsia"/>
        </w:rPr>
        <w:t>また、平成</w:t>
      </w:r>
      <w:r>
        <w:rPr>
          <w:rFonts w:hint="eastAsia"/>
        </w:rPr>
        <w:t>32</w:t>
      </w:r>
      <w:r>
        <w:rPr>
          <w:rFonts w:hint="eastAsia"/>
        </w:rPr>
        <w:t>年（</w:t>
      </w:r>
      <w:r>
        <w:rPr>
          <w:rFonts w:hint="eastAsia"/>
        </w:rPr>
        <w:t>2020</w:t>
      </w:r>
      <w:r>
        <w:rPr>
          <w:rFonts w:hint="eastAsia"/>
        </w:rPr>
        <w:t>年）以降の温室効果ガス削減に向けた日本の約束草案（平成</w:t>
      </w:r>
      <w:r>
        <w:rPr>
          <w:rFonts w:hint="eastAsia"/>
        </w:rPr>
        <w:t>27</w:t>
      </w:r>
      <w:r>
        <w:rPr>
          <w:rFonts w:hint="eastAsia"/>
        </w:rPr>
        <w:t>年７月</w:t>
      </w:r>
      <w:r>
        <w:rPr>
          <w:rFonts w:hint="eastAsia"/>
        </w:rPr>
        <w:t>17</w:t>
      </w:r>
      <w:r>
        <w:rPr>
          <w:rFonts w:hint="eastAsia"/>
        </w:rPr>
        <w:t>日地球温暖化対策推進本部決定）では、温室効果ガスの排出量を平成</w:t>
      </w:r>
      <w:r>
        <w:rPr>
          <w:rFonts w:hint="eastAsia"/>
        </w:rPr>
        <w:t>42</w:t>
      </w:r>
      <w:r>
        <w:rPr>
          <w:rFonts w:hint="eastAsia"/>
        </w:rPr>
        <w:t>年度（</w:t>
      </w:r>
      <w:r>
        <w:rPr>
          <w:rFonts w:hint="eastAsia"/>
        </w:rPr>
        <w:t>2030</w:t>
      </w:r>
      <w:r>
        <w:rPr>
          <w:rFonts w:hint="eastAsia"/>
        </w:rPr>
        <w:t>年度）に平成</w:t>
      </w:r>
      <w:r>
        <w:rPr>
          <w:rFonts w:hint="eastAsia"/>
        </w:rPr>
        <w:t>25</w:t>
      </w:r>
      <w:r>
        <w:rPr>
          <w:rFonts w:hint="eastAsia"/>
        </w:rPr>
        <w:t>年度（</w:t>
      </w:r>
      <w:r>
        <w:rPr>
          <w:rFonts w:hint="eastAsia"/>
        </w:rPr>
        <w:t>2013</w:t>
      </w:r>
      <w:r>
        <w:rPr>
          <w:rFonts w:hint="eastAsia"/>
        </w:rPr>
        <w:t>年度）比</w:t>
      </w:r>
      <w:r>
        <w:rPr>
          <w:rFonts w:hint="eastAsia"/>
        </w:rPr>
        <w:t>26.0</w:t>
      </w:r>
      <w:r>
        <w:rPr>
          <w:rFonts w:hint="eastAsia"/>
        </w:rPr>
        <w:t>％（平成</w:t>
      </w:r>
      <w:r>
        <w:rPr>
          <w:rFonts w:hint="eastAsia"/>
        </w:rPr>
        <w:t>17</w:t>
      </w:r>
      <w:r>
        <w:rPr>
          <w:rFonts w:hint="eastAsia"/>
        </w:rPr>
        <w:t>年度（</w:t>
      </w:r>
      <w:r>
        <w:rPr>
          <w:rFonts w:hint="eastAsia"/>
        </w:rPr>
        <w:t>2005</w:t>
      </w:r>
      <w:r>
        <w:rPr>
          <w:rFonts w:hint="eastAsia"/>
        </w:rPr>
        <w:t>年度）比</w:t>
      </w:r>
      <w:r>
        <w:rPr>
          <w:rFonts w:hint="eastAsia"/>
        </w:rPr>
        <w:t>25.4</w:t>
      </w:r>
      <w:r>
        <w:rPr>
          <w:rFonts w:hint="eastAsia"/>
        </w:rPr>
        <w:t>％）削減する目標が掲げられているが、その内訳として、業務その他部門及び家庭部門の温室効果ガス排出削減目標は、それぞれ平成</w:t>
      </w:r>
      <w:r>
        <w:rPr>
          <w:rFonts w:hint="eastAsia"/>
        </w:rPr>
        <w:t>42</w:t>
      </w:r>
      <w:r>
        <w:rPr>
          <w:rFonts w:hint="eastAsia"/>
        </w:rPr>
        <w:t>年度（</w:t>
      </w:r>
      <w:r>
        <w:rPr>
          <w:rFonts w:hint="eastAsia"/>
        </w:rPr>
        <w:t>2030</w:t>
      </w:r>
      <w:r>
        <w:rPr>
          <w:rFonts w:hint="eastAsia"/>
        </w:rPr>
        <w:t>年度）に平成</w:t>
      </w:r>
      <w:r>
        <w:rPr>
          <w:rFonts w:hint="eastAsia"/>
        </w:rPr>
        <w:t>25</w:t>
      </w:r>
      <w:r>
        <w:rPr>
          <w:rFonts w:hint="eastAsia"/>
        </w:rPr>
        <w:t>年度（</w:t>
      </w:r>
      <w:r>
        <w:rPr>
          <w:rFonts w:hint="eastAsia"/>
        </w:rPr>
        <w:t>2013</w:t>
      </w:r>
      <w:r>
        <w:rPr>
          <w:rFonts w:hint="eastAsia"/>
        </w:rPr>
        <w:t>年度）比で約</w:t>
      </w:r>
      <w:r>
        <w:rPr>
          <w:rFonts w:hint="eastAsia"/>
        </w:rPr>
        <w:t>40</w:t>
      </w:r>
      <w:r>
        <w:rPr>
          <w:rFonts w:hint="eastAsia"/>
        </w:rPr>
        <w:t>％削減することとされている。</w:t>
      </w:r>
      <w:r w:rsidRPr="00E868DD">
        <w:rPr>
          <w:rFonts w:hint="eastAsia"/>
        </w:rPr>
        <w:t>温室効果ガスの排出量の削減に当たっては、新築建築物における建築物エネルギー消費性能基準への適合の推進や既存建築物の省エネルギー改修等により建築物のエネルギー消費性能の向上を図ることが、今後一層重要となる。さらには、</w:t>
      </w:r>
      <w:r w:rsidRPr="001377E0">
        <w:rPr>
          <w:rFonts w:hint="eastAsia"/>
          <w:u w:val="single"/>
        </w:rPr>
        <w:t>建築物の外壁、窓等の断熱化等は、省エネルギーの観点のみならず、室内の温熱環境の改善にもつながることから、居住者等の健康の維持及び増進や執務環境の向上等に寄与することが考えられる。</w:t>
      </w:r>
    </w:p>
    <w:p w:rsidR="00BA3542" w:rsidRPr="00E868DD" w:rsidRDefault="008D5BE6" w:rsidP="00BA3542">
      <w:pPr>
        <w:ind w:firstLineChars="100" w:firstLine="210"/>
      </w:pPr>
      <w:r>
        <w:rPr>
          <w:rFonts w:hint="eastAsia"/>
        </w:rPr>
        <w:lastRenderedPageBreak/>
        <w:t>また、建築物の建築主が講ずべき措置として、次の内容が</w:t>
      </w:r>
      <w:r w:rsidR="00BA3542" w:rsidRPr="00E868DD">
        <w:rPr>
          <w:rFonts w:hint="eastAsia"/>
        </w:rPr>
        <w:t>記載されている。</w:t>
      </w:r>
    </w:p>
    <w:p w:rsidR="00FD70FC" w:rsidRPr="00FD70FC" w:rsidRDefault="00FD70FC" w:rsidP="008D5BE6">
      <w:pPr>
        <w:ind w:leftChars="200" w:left="630" w:hangingChars="100" w:hanging="210"/>
        <w:rPr>
          <w:rFonts w:asciiTheme="majorEastAsia" w:eastAsiaTheme="majorEastAsia" w:hAnsiTheme="majorEastAsia"/>
        </w:rPr>
      </w:pPr>
      <w:r w:rsidRPr="00FD70FC">
        <w:rPr>
          <w:rFonts w:asciiTheme="majorEastAsia" w:eastAsiaTheme="majorEastAsia" w:hAnsiTheme="majorEastAsia" w:hint="eastAsia"/>
        </w:rPr>
        <w:t>【基準適合義務・努力義務】</w:t>
      </w:r>
    </w:p>
    <w:p w:rsidR="008D5BE6" w:rsidRDefault="008D5BE6" w:rsidP="008D5BE6">
      <w:pPr>
        <w:ind w:leftChars="200" w:left="630" w:hangingChars="100" w:hanging="210"/>
      </w:pPr>
      <w:r>
        <w:rPr>
          <w:rFonts w:asciiTheme="minorEastAsia" w:hAnsiTheme="minorEastAsia" w:hint="eastAsia"/>
        </w:rPr>
        <w:t>・</w:t>
      </w:r>
      <w:r w:rsidR="00BA3542" w:rsidRPr="00E868DD">
        <w:rPr>
          <w:rFonts w:asciiTheme="minorEastAsia" w:hAnsiTheme="minorEastAsia" w:hint="eastAsia"/>
        </w:rPr>
        <w:t>規制的措置として、特定建築行為を行う建築主に対しては、基準適合義務が</w:t>
      </w:r>
      <w:r w:rsidR="00BA3542" w:rsidRPr="00E868DD">
        <w:rPr>
          <w:rFonts w:hint="eastAsia"/>
        </w:rPr>
        <w:t>定められているほか、それ以外の建築主についても、一定規模以上の建築を行う者については届出が義務付けられている。</w:t>
      </w:r>
    </w:p>
    <w:p w:rsidR="008D5BE6" w:rsidRDefault="008D5BE6" w:rsidP="008D5BE6">
      <w:pPr>
        <w:ind w:leftChars="200" w:left="630" w:hangingChars="100" w:hanging="210"/>
      </w:pPr>
      <w:r>
        <w:rPr>
          <w:rFonts w:hint="eastAsia"/>
        </w:rPr>
        <w:t>・</w:t>
      </w:r>
      <w:r w:rsidR="00BA3542" w:rsidRPr="00E868DD">
        <w:rPr>
          <w:rFonts w:hint="eastAsia"/>
        </w:rPr>
        <w:t>その他の建築主についても、建築をしようとする</w:t>
      </w:r>
      <w:r>
        <w:rPr>
          <w:rFonts w:hint="eastAsia"/>
        </w:rPr>
        <w:t>建築物のエネルギー消費性能の向上についての努力義務が</w:t>
      </w:r>
      <w:r w:rsidR="00BA3542" w:rsidRPr="00E868DD">
        <w:rPr>
          <w:rFonts w:hint="eastAsia"/>
        </w:rPr>
        <w:t>定められている。当該建築主についても、建築をしようとする建築物が建築物エネルギー消費性能基準に適合したものとなるよう、外壁、窓等を通しての熱の損失の防止、エネルギー消費効率に優れた空気調和設備等の採用、再生可能エネルギーの利用の推進等を図り、建築物エネルギー消費性能基準に適合するよう措置を講ずるよう努めるものとする。</w:t>
      </w:r>
    </w:p>
    <w:p w:rsidR="008D5BE6" w:rsidRPr="000655A3" w:rsidRDefault="008D5BE6" w:rsidP="008D5BE6">
      <w:pPr>
        <w:ind w:leftChars="200" w:left="630" w:hangingChars="100" w:hanging="210"/>
        <w:rPr>
          <w:rFonts w:asciiTheme="majorEastAsia" w:eastAsiaTheme="majorEastAsia" w:hAnsiTheme="majorEastAsia"/>
        </w:rPr>
      </w:pPr>
      <w:r w:rsidRPr="000655A3">
        <w:rPr>
          <w:rFonts w:asciiTheme="majorEastAsia" w:eastAsiaTheme="majorEastAsia" w:hAnsiTheme="majorEastAsia" w:hint="eastAsia"/>
        </w:rPr>
        <w:t>【外皮基準】</w:t>
      </w:r>
    </w:p>
    <w:p w:rsidR="00BA3542" w:rsidRPr="00E868DD" w:rsidRDefault="008D5BE6" w:rsidP="008D5BE6">
      <w:pPr>
        <w:ind w:leftChars="200" w:left="630" w:hangingChars="100" w:hanging="210"/>
      </w:pPr>
      <w:r>
        <w:rPr>
          <w:rFonts w:hint="eastAsia"/>
        </w:rPr>
        <w:t>・</w:t>
      </w:r>
      <w:r w:rsidR="00BA3542" w:rsidRPr="00E868DD">
        <w:rPr>
          <w:rFonts w:hint="eastAsia"/>
        </w:rPr>
        <w:t>外壁、窓等を通しての熱の損失の防止を図るための措置については、次の措置を講ずるよう努めるものとする。</w:t>
      </w:r>
    </w:p>
    <w:p w:rsidR="00BA3542" w:rsidRPr="00E868DD" w:rsidRDefault="00BA3542" w:rsidP="00BA3542">
      <w:pPr>
        <w:ind w:leftChars="500" w:left="1260" w:hangingChars="100" w:hanging="210"/>
      </w:pPr>
      <w:r w:rsidRPr="00E868DD">
        <w:rPr>
          <w:rFonts w:hint="eastAsia"/>
        </w:rPr>
        <w:t>①</w:t>
      </w:r>
      <w:r w:rsidRPr="00E868DD">
        <w:rPr>
          <w:rFonts w:hint="eastAsia"/>
        </w:rPr>
        <w:t xml:space="preserve"> </w:t>
      </w:r>
      <w:r w:rsidRPr="00E868DD">
        <w:rPr>
          <w:rFonts w:hint="eastAsia"/>
        </w:rPr>
        <w:t>外壁の方位、室の配置等に配慮して建築物の配置計画及び平面計画を策定すること。</w:t>
      </w:r>
    </w:p>
    <w:p w:rsidR="00BA3542" w:rsidRPr="00E868DD" w:rsidRDefault="00BA3542" w:rsidP="00BA3542">
      <w:pPr>
        <w:ind w:leftChars="500" w:left="1260" w:hangingChars="100" w:hanging="210"/>
      </w:pPr>
      <w:r w:rsidRPr="00E868DD">
        <w:rPr>
          <w:rFonts w:hint="eastAsia"/>
        </w:rPr>
        <w:t>②</w:t>
      </w:r>
      <w:r w:rsidRPr="00E868DD">
        <w:rPr>
          <w:rFonts w:hint="eastAsia"/>
        </w:rPr>
        <w:t xml:space="preserve"> </w:t>
      </w:r>
      <w:r w:rsidRPr="00E868DD">
        <w:rPr>
          <w:rFonts w:hint="eastAsia"/>
        </w:rPr>
        <w:t>外壁、屋根、天井、床、窓等の開口部を断熱性の高いものとすること。</w:t>
      </w:r>
    </w:p>
    <w:p w:rsidR="00BA3542" w:rsidRPr="00E868DD" w:rsidRDefault="00BA3542" w:rsidP="00BA3542">
      <w:pPr>
        <w:ind w:leftChars="500" w:left="1260" w:hangingChars="100" w:hanging="210"/>
      </w:pPr>
      <w:r w:rsidRPr="00E868DD">
        <w:rPr>
          <w:rFonts w:hint="eastAsia"/>
        </w:rPr>
        <w:t>③</w:t>
      </w:r>
      <w:r w:rsidRPr="00E868DD">
        <w:rPr>
          <w:rFonts w:hint="eastAsia"/>
        </w:rPr>
        <w:t xml:space="preserve"> </w:t>
      </w:r>
      <w:r w:rsidRPr="00E868DD">
        <w:rPr>
          <w:rFonts w:hint="eastAsia"/>
        </w:rPr>
        <w:t>窓からの日射の適切な制御が可能な方式の採用等により日射による熱負荷の低減を図ること。</w:t>
      </w:r>
    </w:p>
    <w:p w:rsidR="00BA3542" w:rsidRPr="00E868DD" w:rsidRDefault="00BA3542" w:rsidP="00BA3542">
      <w:pPr>
        <w:ind w:leftChars="500" w:left="1260" w:hangingChars="100" w:hanging="210"/>
      </w:pPr>
      <w:r w:rsidRPr="00E868DD">
        <w:rPr>
          <w:rFonts w:hint="eastAsia"/>
        </w:rPr>
        <w:t>④</w:t>
      </w:r>
      <w:r w:rsidRPr="00E868DD">
        <w:rPr>
          <w:rFonts w:hint="eastAsia"/>
        </w:rPr>
        <w:t xml:space="preserve"> </w:t>
      </w:r>
      <w:r w:rsidRPr="00E868DD">
        <w:rPr>
          <w:rFonts w:hint="eastAsia"/>
        </w:rPr>
        <w:t>気密性の確保、防露性能の確保、室内空気汚染の防止等に十分配慮すること。</w:t>
      </w:r>
    </w:p>
    <w:p w:rsidR="00BA3542" w:rsidRPr="00E868DD" w:rsidRDefault="00BA3542" w:rsidP="00BA3542">
      <w:pPr>
        <w:ind w:leftChars="500" w:left="1260" w:hangingChars="100" w:hanging="210"/>
      </w:pPr>
      <w:r w:rsidRPr="00E868DD">
        <w:rPr>
          <w:rFonts w:hint="eastAsia"/>
        </w:rPr>
        <w:t>⑤</w:t>
      </w:r>
      <w:r w:rsidRPr="00E868DD">
        <w:rPr>
          <w:rFonts w:hint="eastAsia"/>
        </w:rPr>
        <w:t xml:space="preserve"> </w:t>
      </w:r>
      <w:r w:rsidRPr="00E868DD">
        <w:rPr>
          <w:rFonts w:hint="eastAsia"/>
        </w:rPr>
        <w:t>非住宅建築物については、屋内周囲空間の熱負荷の低減を図るものとし、誘導基準における外皮基準（ＰＡＬ＊）を満たすよう措置を講ずること。</w:t>
      </w:r>
    </w:p>
    <w:p w:rsidR="00BA3542" w:rsidRPr="00E868DD" w:rsidRDefault="00BA3542" w:rsidP="00BA3542">
      <w:pPr>
        <w:ind w:leftChars="500" w:left="1260" w:hangingChars="100" w:hanging="210"/>
      </w:pPr>
      <w:r w:rsidRPr="00E868DD">
        <w:rPr>
          <w:rFonts w:hint="eastAsia"/>
        </w:rPr>
        <w:t>⑥</w:t>
      </w:r>
      <w:r w:rsidRPr="00E868DD">
        <w:rPr>
          <w:rFonts w:hint="eastAsia"/>
        </w:rPr>
        <w:t xml:space="preserve"> </w:t>
      </w:r>
      <w:r w:rsidRPr="00E868DD">
        <w:rPr>
          <w:rFonts w:hint="eastAsia"/>
        </w:rPr>
        <w:t>住宅については、建築物エネルギー消費性能基準等を定める省令（平成</w:t>
      </w:r>
      <w:r w:rsidRPr="00E868DD">
        <w:rPr>
          <w:rFonts w:hint="eastAsia"/>
        </w:rPr>
        <w:t>28</w:t>
      </w:r>
      <w:r w:rsidRPr="00E868DD">
        <w:rPr>
          <w:rFonts w:hint="eastAsia"/>
        </w:rPr>
        <w:t>年経済産業省・国土交通省令第１号）第１条第１項第２号イの外皮平均熱貫流率及び平均日射熱取得率の基準並びに別表１の気密性の確保及び結露の防止等の措置の基準等を満たす措置を講ずるよう努めること。</w:t>
      </w:r>
    </w:p>
    <w:p w:rsidR="008D5BE6" w:rsidRPr="000655A3" w:rsidRDefault="008D5BE6" w:rsidP="00BA3542">
      <w:pPr>
        <w:ind w:leftChars="200" w:left="630" w:hangingChars="100" w:hanging="210"/>
        <w:rPr>
          <w:rFonts w:asciiTheme="majorEastAsia" w:eastAsiaTheme="majorEastAsia" w:hAnsiTheme="majorEastAsia"/>
        </w:rPr>
      </w:pPr>
      <w:r w:rsidRPr="000655A3">
        <w:rPr>
          <w:rFonts w:asciiTheme="majorEastAsia" w:eastAsiaTheme="majorEastAsia" w:hAnsiTheme="majorEastAsia" w:hint="eastAsia"/>
        </w:rPr>
        <w:t>【一次エネルギー消費量】</w:t>
      </w:r>
    </w:p>
    <w:p w:rsidR="00BD4346" w:rsidRPr="00BD4346" w:rsidRDefault="00C636FE" w:rsidP="00EA3169">
      <w:pPr>
        <w:ind w:leftChars="200" w:left="630" w:hangingChars="100" w:hanging="210"/>
      </w:pPr>
      <w:r>
        <w:rPr>
          <w:rFonts w:hint="eastAsia"/>
        </w:rPr>
        <w:t>・</w:t>
      </w:r>
      <w:r w:rsidR="00BA3542" w:rsidRPr="00E868DD">
        <w:rPr>
          <w:rFonts w:hint="eastAsia"/>
        </w:rPr>
        <w:t>建築物の建築をしようとする者</w:t>
      </w:r>
      <w:r w:rsidR="00401FDC">
        <w:rPr>
          <w:rFonts w:hint="eastAsia"/>
        </w:rPr>
        <w:t>は</w:t>
      </w:r>
      <w:r w:rsidR="00BA3542" w:rsidRPr="00E868DD">
        <w:rPr>
          <w:rFonts w:hint="eastAsia"/>
        </w:rPr>
        <w:t>、当該建築物の外壁、窓等を通しての熱の損失の防止及び当該建築物に設ける空気調和設備等に係るエネルギーの効率的利用を図るため、適確な建築等を行うよう努めるものとする。</w:t>
      </w:r>
    </w:p>
    <w:sectPr w:rsidR="00BD4346" w:rsidRPr="00BD4346" w:rsidSect="008C3CE4">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D4" w:rsidRDefault="005678D4" w:rsidP="00976715">
      <w:r>
        <w:separator/>
      </w:r>
    </w:p>
  </w:endnote>
  <w:endnote w:type="continuationSeparator" w:id="0">
    <w:p w:rsidR="005678D4" w:rsidRDefault="005678D4" w:rsidP="0097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C5" w:rsidRDefault="008B12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A4" w:rsidRPr="008B12C5" w:rsidRDefault="00FD4FA4" w:rsidP="008B12C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C5" w:rsidRDefault="008B12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D4" w:rsidRDefault="005678D4" w:rsidP="00976715">
      <w:r>
        <w:separator/>
      </w:r>
    </w:p>
  </w:footnote>
  <w:footnote w:type="continuationSeparator" w:id="0">
    <w:p w:rsidR="005678D4" w:rsidRDefault="005678D4" w:rsidP="00976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C5" w:rsidRDefault="008B12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62" w:rsidRPr="00976715" w:rsidRDefault="00967D62" w:rsidP="00976715">
    <w:pPr>
      <w:pStyle w:val="a3"/>
      <w:tabs>
        <w:tab w:val="center" w:pos="4873"/>
        <w:tab w:val="right" w:pos="9746"/>
      </w:tabs>
      <w:jc w:val="left"/>
      <w:rPr>
        <w:rFonts w:asciiTheme="majorEastAsia" w:eastAsiaTheme="majorEastAsia" w:hAnsiTheme="majorEastAsia"/>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C5" w:rsidRDefault="008B12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C5D19"/>
    <w:multiLevelType w:val="hybridMultilevel"/>
    <w:tmpl w:val="C78616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15"/>
    <w:rsid w:val="00014F0B"/>
    <w:rsid w:val="0002051A"/>
    <w:rsid w:val="00021560"/>
    <w:rsid w:val="00024ABE"/>
    <w:rsid w:val="00024D21"/>
    <w:rsid w:val="000253F8"/>
    <w:rsid w:val="00037952"/>
    <w:rsid w:val="0004403C"/>
    <w:rsid w:val="00053BCB"/>
    <w:rsid w:val="00062AB0"/>
    <w:rsid w:val="00064291"/>
    <w:rsid w:val="000655A3"/>
    <w:rsid w:val="00067233"/>
    <w:rsid w:val="000759EA"/>
    <w:rsid w:val="00077A9C"/>
    <w:rsid w:val="00083B87"/>
    <w:rsid w:val="000949B0"/>
    <w:rsid w:val="00096900"/>
    <w:rsid w:val="0009711B"/>
    <w:rsid w:val="000974FE"/>
    <w:rsid w:val="000A5873"/>
    <w:rsid w:val="000C2825"/>
    <w:rsid w:val="000E0F50"/>
    <w:rsid w:val="001055F0"/>
    <w:rsid w:val="001061A7"/>
    <w:rsid w:val="0011267C"/>
    <w:rsid w:val="00112F7F"/>
    <w:rsid w:val="001210A9"/>
    <w:rsid w:val="00136A79"/>
    <w:rsid w:val="001377E0"/>
    <w:rsid w:val="00137BEB"/>
    <w:rsid w:val="001472A5"/>
    <w:rsid w:val="0016168A"/>
    <w:rsid w:val="00166049"/>
    <w:rsid w:val="001713C6"/>
    <w:rsid w:val="001A4F3F"/>
    <w:rsid w:val="001A7DBC"/>
    <w:rsid w:val="001B019E"/>
    <w:rsid w:val="001B4874"/>
    <w:rsid w:val="001C52F3"/>
    <w:rsid w:val="001C6AA9"/>
    <w:rsid w:val="001D364F"/>
    <w:rsid w:val="001F3C8A"/>
    <w:rsid w:val="00214537"/>
    <w:rsid w:val="00241A06"/>
    <w:rsid w:val="002846DF"/>
    <w:rsid w:val="00295C1A"/>
    <w:rsid w:val="002B0014"/>
    <w:rsid w:val="002F5C18"/>
    <w:rsid w:val="002F6E12"/>
    <w:rsid w:val="00300A28"/>
    <w:rsid w:val="00336E5D"/>
    <w:rsid w:val="0034658A"/>
    <w:rsid w:val="0034673F"/>
    <w:rsid w:val="00352F4B"/>
    <w:rsid w:val="0035784D"/>
    <w:rsid w:val="00391A70"/>
    <w:rsid w:val="00392699"/>
    <w:rsid w:val="003A62DD"/>
    <w:rsid w:val="003B5E42"/>
    <w:rsid w:val="003C6EBF"/>
    <w:rsid w:val="003D1F3E"/>
    <w:rsid w:val="003F7340"/>
    <w:rsid w:val="00401FDC"/>
    <w:rsid w:val="00457599"/>
    <w:rsid w:val="00474694"/>
    <w:rsid w:val="00481FE1"/>
    <w:rsid w:val="004C064A"/>
    <w:rsid w:val="004D31D7"/>
    <w:rsid w:val="004E5404"/>
    <w:rsid w:val="004E54FD"/>
    <w:rsid w:val="004F17F4"/>
    <w:rsid w:val="00504ADA"/>
    <w:rsid w:val="005304FA"/>
    <w:rsid w:val="0054286C"/>
    <w:rsid w:val="0055366F"/>
    <w:rsid w:val="00555E49"/>
    <w:rsid w:val="00560497"/>
    <w:rsid w:val="00561F0C"/>
    <w:rsid w:val="00564B67"/>
    <w:rsid w:val="005678D4"/>
    <w:rsid w:val="0057141F"/>
    <w:rsid w:val="00576E84"/>
    <w:rsid w:val="005B2794"/>
    <w:rsid w:val="005B6A11"/>
    <w:rsid w:val="005B7FD0"/>
    <w:rsid w:val="005C072E"/>
    <w:rsid w:val="005C1274"/>
    <w:rsid w:val="005C2010"/>
    <w:rsid w:val="005C5DD9"/>
    <w:rsid w:val="005C7F9E"/>
    <w:rsid w:val="005E3F76"/>
    <w:rsid w:val="005E4254"/>
    <w:rsid w:val="005F11EC"/>
    <w:rsid w:val="00616BDB"/>
    <w:rsid w:val="006460B7"/>
    <w:rsid w:val="00665189"/>
    <w:rsid w:val="00667569"/>
    <w:rsid w:val="006774D1"/>
    <w:rsid w:val="006B5A2B"/>
    <w:rsid w:val="006C42DD"/>
    <w:rsid w:val="006C755A"/>
    <w:rsid w:val="006D0795"/>
    <w:rsid w:val="006F1A2B"/>
    <w:rsid w:val="006F452E"/>
    <w:rsid w:val="0072091D"/>
    <w:rsid w:val="00726F5C"/>
    <w:rsid w:val="0075008C"/>
    <w:rsid w:val="0075541E"/>
    <w:rsid w:val="00756E11"/>
    <w:rsid w:val="00766934"/>
    <w:rsid w:val="00770245"/>
    <w:rsid w:val="007738ED"/>
    <w:rsid w:val="0079338B"/>
    <w:rsid w:val="007A5ED2"/>
    <w:rsid w:val="007B1761"/>
    <w:rsid w:val="007B74B7"/>
    <w:rsid w:val="007C4EBA"/>
    <w:rsid w:val="007C75AF"/>
    <w:rsid w:val="007E37DA"/>
    <w:rsid w:val="00810FC1"/>
    <w:rsid w:val="008174EB"/>
    <w:rsid w:val="0082748A"/>
    <w:rsid w:val="008479FA"/>
    <w:rsid w:val="0086426C"/>
    <w:rsid w:val="00885697"/>
    <w:rsid w:val="008A4F37"/>
    <w:rsid w:val="008A7E95"/>
    <w:rsid w:val="008B12C5"/>
    <w:rsid w:val="008B39AB"/>
    <w:rsid w:val="008C3CE4"/>
    <w:rsid w:val="008C729A"/>
    <w:rsid w:val="008D4AB3"/>
    <w:rsid w:val="008D5BE6"/>
    <w:rsid w:val="008D671C"/>
    <w:rsid w:val="00900E52"/>
    <w:rsid w:val="00904382"/>
    <w:rsid w:val="00945C9D"/>
    <w:rsid w:val="009515FE"/>
    <w:rsid w:val="009611BA"/>
    <w:rsid w:val="00963A16"/>
    <w:rsid w:val="00967D62"/>
    <w:rsid w:val="00973D80"/>
    <w:rsid w:val="009761DE"/>
    <w:rsid w:val="00976715"/>
    <w:rsid w:val="0097792D"/>
    <w:rsid w:val="0099418F"/>
    <w:rsid w:val="00994E63"/>
    <w:rsid w:val="009A11E5"/>
    <w:rsid w:val="009A5A6F"/>
    <w:rsid w:val="009B3C2A"/>
    <w:rsid w:val="009E6AB6"/>
    <w:rsid w:val="009F1B59"/>
    <w:rsid w:val="009F3219"/>
    <w:rsid w:val="009F4937"/>
    <w:rsid w:val="00A409BA"/>
    <w:rsid w:val="00A44484"/>
    <w:rsid w:val="00A54583"/>
    <w:rsid w:val="00A6219B"/>
    <w:rsid w:val="00A97F7B"/>
    <w:rsid w:val="00AA22B9"/>
    <w:rsid w:val="00AA40DC"/>
    <w:rsid w:val="00AB3DB5"/>
    <w:rsid w:val="00AB513A"/>
    <w:rsid w:val="00B024D9"/>
    <w:rsid w:val="00B448E0"/>
    <w:rsid w:val="00B53B50"/>
    <w:rsid w:val="00B566B7"/>
    <w:rsid w:val="00B658E4"/>
    <w:rsid w:val="00B81751"/>
    <w:rsid w:val="00B838C0"/>
    <w:rsid w:val="00BA3542"/>
    <w:rsid w:val="00BB4AA0"/>
    <w:rsid w:val="00BD0003"/>
    <w:rsid w:val="00BD4346"/>
    <w:rsid w:val="00BF7D31"/>
    <w:rsid w:val="00C01CBB"/>
    <w:rsid w:val="00C1645D"/>
    <w:rsid w:val="00C4057D"/>
    <w:rsid w:val="00C636FE"/>
    <w:rsid w:val="00C84A46"/>
    <w:rsid w:val="00C93E39"/>
    <w:rsid w:val="00CB3C38"/>
    <w:rsid w:val="00CB4C80"/>
    <w:rsid w:val="00CB6B03"/>
    <w:rsid w:val="00CC31EC"/>
    <w:rsid w:val="00CE5ACD"/>
    <w:rsid w:val="00CF4A88"/>
    <w:rsid w:val="00D33FA5"/>
    <w:rsid w:val="00D35D91"/>
    <w:rsid w:val="00D413D8"/>
    <w:rsid w:val="00D67AFB"/>
    <w:rsid w:val="00D77DD6"/>
    <w:rsid w:val="00D85DF4"/>
    <w:rsid w:val="00D86AE1"/>
    <w:rsid w:val="00D87DD2"/>
    <w:rsid w:val="00DB000E"/>
    <w:rsid w:val="00DD09F4"/>
    <w:rsid w:val="00E038A1"/>
    <w:rsid w:val="00E11743"/>
    <w:rsid w:val="00E20DB8"/>
    <w:rsid w:val="00E403AF"/>
    <w:rsid w:val="00E62455"/>
    <w:rsid w:val="00E70F6F"/>
    <w:rsid w:val="00E74710"/>
    <w:rsid w:val="00E774DC"/>
    <w:rsid w:val="00E868DD"/>
    <w:rsid w:val="00EA3169"/>
    <w:rsid w:val="00EB6946"/>
    <w:rsid w:val="00ED24DD"/>
    <w:rsid w:val="00EE02DD"/>
    <w:rsid w:val="00EE0370"/>
    <w:rsid w:val="00EE42BA"/>
    <w:rsid w:val="00EE6E26"/>
    <w:rsid w:val="00EF2111"/>
    <w:rsid w:val="00F160CC"/>
    <w:rsid w:val="00F20E64"/>
    <w:rsid w:val="00F321C8"/>
    <w:rsid w:val="00F46D5A"/>
    <w:rsid w:val="00F64B72"/>
    <w:rsid w:val="00F87D77"/>
    <w:rsid w:val="00F90529"/>
    <w:rsid w:val="00F967D8"/>
    <w:rsid w:val="00FB6042"/>
    <w:rsid w:val="00FD4FA4"/>
    <w:rsid w:val="00FD70FC"/>
    <w:rsid w:val="00FE071A"/>
    <w:rsid w:val="00FE1FE4"/>
    <w:rsid w:val="00FF232C"/>
    <w:rsid w:val="00FF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715"/>
    <w:pPr>
      <w:tabs>
        <w:tab w:val="center" w:pos="4252"/>
        <w:tab w:val="right" w:pos="8504"/>
      </w:tabs>
      <w:snapToGrid w:val="0"/>
    </w:pPr>
  </w:style>
  <w:style w:type="character" w:customStyle="1" w:styleId="a4">
    <w:name w:val="ヘッダー (文字)"/>
    <w:basedOn w:val="a0"/>
    <w:link w:val="a3"/>
    <w:uiPriority w:val="99"/>
    <w:rsid w:val="00976715"/>
  </w:style>
  <w:style w:type="paragraph" w:styleId="a5">
    <w:name w:val="footer"/>
    <w:basedOn w:val="a"/>
    <w:link w:val="a6"/>
    <w:uiPriority w:val="99"/>
    <w:unhideWhenUsed/>
    <w:rsid w:val="00976715"/>
    <w:pPr>
      <w:tabs>
        <w:tab w:val="center" w:pos="4252"/>
        <w:tab w:val="right" w:pos="8504"/>
      </w:tabs>
      <w:snapToGrid w:val="0"/>
    </w:pPr>
  </w:style>
  <w:style w:type="character" w:customStyle="1" w:styleId="a6">
    <w:name w:val="フッター (文字)"/>
    <w:basedOn w:val="a0"/>
    <w:link w:val="a5"/>
    <w:uiPriority w:val="99"/>
    <w:rsid w:val="00976715"/>
  </w:style>
  <w:style w:type="paragraph" w:styleId="a7">
    <w:name w:val="List Paragraph"/>
    <w:basedOn w:val="a"/>
    <w:uiPriority w:val="34"/>
    <w:qFormat/>
    <w:rsid w:val="00976715"/>
    <w:pPr>
      <w:ind w:leftChars="400" w:left="840"/>
    </w:pPr>
  </w:style>
  <w:style w:type="table" w:styleId="a8">
    <w:name w:val="Table Grid"/>
    <w:basedOn w:val="a1"/>
    <w:uiPriority w:val="59"/>
    <w:rsid w:val="00FE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D86AE1"/>
    <w:rPr>
      <w:b/>
      <w:bCs/>
      <w:szCs w:val="21"/>
    </w:rPr>
  </w:style>
  <w:style w:type="character" w:styleId="aa">
    <w:name w:val="Hyperlink"/>
    <w:basedOn w:val="a0"/>
    <w:uiPriority w:val="99"/>
    <w:semiHidden/>
    <w:unhideWhenUsed/>
    <w:rsid w:val="0079338B"/>
    <w:rPr>
      <w:color w:val="0000FF"/>
      <w:u w:val="single"/>
    </w:rPr>
  </w:style>
  <w:style w:type="character" w:customStyle="1" w:styleId="p20">
    <w:name w:val="p20"/>
    <w:basedOn w:val="a0"/>
    <w:rsid w:val="0079338B"/>
  </w:style>
  <w:style w:type="paragraph" w:styleId="ab">
    <w:name w:val="Balloon Text"/>
    <w:basedOn w:val="a"/>
    <w:link w:val="ac"/>
    <w:uiPriority w:val="99"/>
    <w:semiHidden/>
    <w:unhideWhenUsed/>
    <w:rsid w:val="00EE03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03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715"/>
    <w:pPr>
      <w:tabs>
        <w:tab w:val="center" w:pos="4252"/>
        <w:tab w:val="right" w:pos="8504"/>
      </w:tabs>
      <w:snapToGrid w:val="0"/>
    </w:pPr>
  </w:style>
  <w:style w:type="character" w:customStyle="1" w:styleId="a4">
    <w:name w:val="ヘッダー (文字)"/>
    <w:basedOn w:val="a0"/>
    <w:link w:val="a3"/>
    <w:uiPriority w:val="99"/>
    <w:rsid w:val="00976715"/>
  </w:style>
  <w:style w:type="paragraph" w:styleId="a5">
    <w:name w:val="footer"/>
    <w:basedOn w:val="a"/>
    <w:link w:val="a6"/>
    <w:uiPriority w:val="99"/>
    <w:unhideWhenUsed/>
    <w:rsid w:val="00976715"/>
    <w:pPr>
      <w:tabs>
        <w:tab w:val="center" w:pos="4252"/>
        <w:tab w:val="right" w:pos="8504"/>
      </w:tabs>
      <w:snapToGrid w:val="0"/>
    </w:pPr>
  </w:style>
  <w:style w:type="character" w:customStyle="1" w:styleId="a6">
    <w:name w:val="フッター (文字)"/>
    <w:basedOn w:val="a0"/>
    <w:link w:val="a5"/>
    <w:uiPriority w:val="99"/>
    <w:rsid w:val="00976715"/>
  </w:style>
  <w:style w:type="paragraph" w:styleId="a7">
    <w:name w:val="List Paragraph"/>
    <w:basedOn w:val="a"/>
    <w:uiPriority w:val="34"/>
    <w:qFormat/>
    <w:rsid w:val="00976715"/>
    <w:pPr>
      <w:ind w:leftChars="400" w:left="840"/>
    </w:pPr>
  </w:style>
  <w:style w:type="table" w:styleId="a8">
    <w:name w:val="Table Grid"/>
    <w:basedOn w:val="a1"/>
    <w:uiPriority w:val="59"/>
    <w:rsid w:val="00FE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D86AE1"/>
    <w:rPr>
      <w:b/>
      <w:bCs/>
      <w:szCs w:val="21"/>
    </w:rPr>
  </w:style>
  <w:style w:type="character" w:styleId="aa">
    <w:name w:val="Hyperlink"/>
    <w:basedOn w:val="a0"/>
    <w:uiPriority w:val="99"/>
    <w:semiHidden/>
    <w:unhideWhenUsed/>
    <w:rsid w:val="0079338B"/>
    <w:rPr>
      <w:color w:val="0000FF"/>
      <w:u w:val="single"/>
    </w:rPr>
  </w:style>
  <w:style w:type="character" w:customStyle="1" w:styleId="p20">
    <w:name w:val="p20"/>
    <w:basedOn w:val="a0"/>
    <w:rsid w:val="0079338B"/>
  </w:style>
  <w:style w:type="paragraph" w:styleId="ab">
    <w:name w:val="Balloon Text"/>
    <w:basedOn w:val="a"/>
    <w:link w:val="ac"/>
    <w:uiPriority w:val="99"/>
    <w:semiHidden/>
    <w:unhideWhenUsed/>
    <w:rsid w:val="00EE03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0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0123">
      <w:bodyDiv w:val="1"/>
      <w:marLeft w:val="0"/>
      <w:marRight w:val="0"/>
      <w:marTop w:val="0"/>
      <w:marBottom w:val="0"/>
      <w:divBdr>
        <w:top w:val="none" w:sz="0" w:space="0" w:color="auto"/>
        <w:left w:val="none" w:sz="0" w:space="0" w:color="auto"/>
        <w:bottom w:val="none" w:sz="0" w:space="0" w:color="auto"/>
        <w:right w:val="none" w:sz="0" w:space="0" w:color="auto"/>
      </w:divBdr>
    </w:div>
    <w:div w:id="737166033">
      <w:bodyDiv w:val="1"/>
      <w:marLeft w:val="0"/>
      <w:marRight w:val="0"/>
      <w:marTop w:val="0"/>
      <w:marBottom w:val="0"/>
      <w:divBdr>
        <w:top w:val="none" w:sz="0" w:space="0" w:color="auto"/>
        <w:left w:val="none" w:sz="0" w:space="0" w:color="auto"/>
        <w:bottom w:val="none" w:sz="0" w:space="0" w:color="auto"/>
        <w:right w:val="none" w:sz="0" w:space="0" w:color="auto"/>
      </w:divBdr>
    </w:div>
    <w:div w:id="1423334184">
      <w:bodyDiv w:val="1"/>
      <w:marLeft w:val="0"/>
      <w:marRight w:val="0"/>
      <w:marTop w:val="0"/>
      <w:marBottom w:val="0"/>
      <w:divBdr>
        <w:top w:val="none" w:sz="0" w:space="0" w:color="auto"/>
        <w:left w:val="none" w:sz="0" w:space="0" w:color="auto"/>
        <w:bottom w:val="none" w:sz="0" w:space="0" w:color="auto"/>
        <w:right w:val="none" w:sz="0" w:space="0" w:color="auto"/>
      </w:divBdr>
    </w:div>
    <w:div w:id="21402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3772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2016-07-20T07:20:00Z</dcterms:created>
  <dcterms:modified xsi:type="dcterms:W3CDTF">2016-08-09T11:29:00Z</dcterms:modified>
</cp:coreProperties>
</file>