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2D" w:rsidRPr="00670162" w:rsidRDefault="00A93037" w:rsidP="002F0F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425B2D" w:rsidRPr="00670162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2F72" wp14:editId="68B3E208">
                <wp:simplePos x="0" y="0"/>
                <wp:positionH relativeFrom="column">
                  <wp:posOffset>5235575</wp:posOffset>
                </wp:positionH>
                <wp:positionV relativeFrom="paragraph">
                  <wp:posOffset>-460848</wp:posOffset>
                </wp:positionV>
                <wp:extent cx="1079500" cy="393405"/>
                <wp:effectExtent l="0" t="0" r="2540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582" w:rsidRPr="00B652BE" w:rsidRDefault="00BE0582" w:rsidP="00425B2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4"/>
                              </w:rPr>
                            </w:pPr>
                            <w:r w:rsidRPr="00B652B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25pt;margin-top:-36.3pt;width:8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" fillcolor="white [3201]" strokeweight=".5pt">
                <v:textbox>
                  <w:txbxContent>
                    <w:p w:rsidR="00BE0582" w:rsidRPr="00B652BE" w:rsidRDefault="00BE0582" w:rsidP="00425B2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4"/>
                        </w:rPr>
                      </w:pPr>
                      <w:r w:rsidRPr="00B652BE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425B2D" w:rsidRPr="00670162">
        <w:rPr>
          <w:rFonts w:asciiTheme="majorEastAsia" w:eastAsiaTheme="majorEastAsia" w:hAnsiTheme="majorEastAsia" w:hint="eastAsia"/>
          <w:b/>
          <w:sz w:val="28"/>
          <w:szCs w:val="28"/>
        </w:rPr>
        <w:t>大阪府地球温暖化対策実行計画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425B2D" w:rsidRPr="00670162">
        <w:rPr>
          <w:rFonts w:asciiTheme="majorEastAsia" w:eastAsiaTheme="majorEastAsia" w:hAnsiTheme="majorEastAsia" w:hint="eastAsia"/>
          <w:b/>
          <w:sz w:val="28"/>
          <w:szCs w:val="28"/>
        </w:rPr>
        <w:t>の対策指標について</w:t>
      </w:r>
    </w:p>
    <w:p w:rsidR="00374063" w:rsidRDefault="00411C5D" w:rsidP="003740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</w:t>
      </w:r>
      <w:r w:rsidR="007038FA">
        <w:rPr>
          <w:rFonts w:asciiTheme="minorEastAsia" w:hAnsiTheme="minorEastAsia" w:hint="eastAsia"/>
          <w:sz w:val="24"/>
          <w:szCs w:val="24"/>
        </w:rPr>
        <w:t>年３月策定の「大阪府地球温暖化対策実行計画（区域施策編）」</w:t>
      </w:r>
      <w:r w:rsidR="00197540">
        <w:rPr>
          <w:rFonts w:asciiTheme="minorEastAsia" w:hAnsiTheme="minorEastAsia" w:hint="eastAsia"/>
          <w:sz w:val="24"/>
          <w:szCs w:val="24"/>
        </w:rPr>
        <w:t>（以下、「実行計画」）</w:t>
      </w:r>
      <w:r w:rsidR="003D5D8D">
        <w:rPr>
          <w:rFonts w:asciiTheme="minorEastAsia" w:hAnsiTheme="minorEastAsia" w:hint="eastAsia"/>
          <w:sz w:val="24"/>
          <w:szCs w:val="24"/>
        </w:rPr>
        <w:t>で</w:t>
      </w:r>
      <w:r w:rsidR="007038FA">
        <w:rPr>
          <w:rFonts w:asciiTheme="minorEastAsia" w:hAnsiTheme="minorEastAsia" w:hint="eastAsia"/>
          <w:sz w:val="24"/>
          <w:szCs w:val="24"/>
        </w:rPr>
        <w:t>は、部門ごとの対策の取組状況を把握するため、</w:t>
      </w:r>
      <w:r w:rsidR="00374063">
        <w:rPr>
          <w:rFonts w:asciiTheme="minorEastAsia" w:hAnsiTheme="minorEastAsia" w:hint="eastAsia"/>
          <w:sz w:val="24"/>
          <w:szCs w:val="24"/>
        </w:rPr>
        <w:t>表１のとおり、部門ごとに</w:t>
      </w:r>
      <w:r w:rsidR="007038FA">
        <w:rPr>
          <w:rFonts w:asciiTheme="minorEastAsia" w:hAnsiTheme="minorEastAsia" w:hint="eastAsia"/>
          <w:sz w:val="24"/>
          <w:szCs w:val="24"/>
        </w:rPr>
        <w:t>「</w:t>
      </w:r>
      <w:r w:rsidR="003A1B3C" w:rsidRPr="005E49C7">
        <w:rPr>
          <w:rFonts w:asciiTheme="minorEastAsia" w:hAnsiTheme="minorEastAsia" w:hint="eastAsia"/>
          <w:sz w:val="24"/>
          <w:szCs w:val="24"/>
        </w:rPr>
        <w:t>対策指標</w:t>
      </w:r>
      <w:r w:rsidR="007038FA">
        <w:rPr>
          <w:rFonts w:asciiTheme="minorEastAsia" w:hAnsiTheme="minorEastAsia" w:hint="eastAsia"/>
          <w:sz w:val="24"/>
          <w:szCs w:val="24"/>
        </w:rPr>
        <w:t>」を設定して進行管理を行うこととしている</w:t>
      </w:r>
      <w:r w:rsidR="0031331E">
        <w:rPr>
          <w:rFonts w:asciiTheme="minorEastAsia" w:hAnsiTheme="minorEastAsia" w:hint="eastAsia"/>
          <w:sz w:val="24"/>
          <w:szCs w:val="24"/>
        </w:rPr>
        <w:t>。</w:t>
      </w:r>
    </w:p>
    <w:p w:rsidR="00374063" w:rsidRDefault="00374063" w:rsidP="003740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このうち、</w:t>
      </w:r>
      <w:r w:rsidR="003A1B3C" w:rsidRPr="005E49C7">
        <w:rPr>
          <w:rFonts w:asciiTheme="minorEastAsia" w:hAnsiTheme="minorEastAsia" w:hint="eastAsia"/>
          <w:sz w:val="24"/>
          <w:szCs w:val="24"/>
        </w:rPr>
        <w:t>廃棄物部門</w:t>
      </w:r>
      <w:r w:rsidR="007038FA">
        <w:rPr>
          <w:rFonts w:asciiTheme="minorEastAsia" w:hAnsiTheme="minorEastAsia" w:hint="eastAsia"/>
          <w:sz w:val="24"/>
          <w:szCs w:val="24"/>
        </w:rPr>
        <w:t>の対策指標は</w:t>
      </w:r>
      <w:r w:rsidR="0031331E">
        <w:rPr>
          <w:rFonts w:asciiTheme="minorEastAsia" w:hAnsiTheme="minorEastAsia" w:hint="eastAsia"/>
          <w:sz w:val="24"/>
          <w:szCs w:val="24"/>
        </w:rPr>
        <w:t>「一般廃棄物の廃プラスチックの焼却量」として</w:t>
      </w:r>
      <w:r>
        <w:rPr>
          <w:rFonts w:asciiTheme="minorEastAsia" w:hAnsiTheme="minorEastAsia" w:hint="eastAsia"/>
          <w:sz w:val="24"/>
          <w:szCs w:val="24"/>
        </w:rPr>
        <w:t>いたが</w:t>
      </w:r>
      <w:r w:rsidR="0031331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当時「大阪府循環型社会推進計画」（以下、「循環計画」）</w:t>
      </w:r>
      <w:r w:rsidR="0070150C">
        <w:rPr>
          <w:rFonts w:asciiTheme="minorEastAsia" w:hAnsiTheme="minorEastAsia" w:hint="eastAsia"/>
          <w:sz w:val="24"/>
          <w:szCs w:val="24"/>
        </w:rPr>
        <w:t>改定の予定が</w:t>
      </w:r>
      <w:r>
        <w:rPr>
          <w:rFonts w:asciiTheme="minorEastAsia" w:hAnsiTheme="minorEastAsia" w:hint="eastAsia"/>
          <w:sz w:val="24"/>
          <w:szCs w:val="24"/>
        </w:rPr>
        <w:t>あったため、</w:t>
      </w:r>
      <w:r w:rsidR="0031331E">
        <w:rPr>
          <w:rFonts w:asciiTheme="minorEastAsia" w:hAnsiTheme="minorEastAsia" w:hint="eastAsia"/>
          <w:sz w:val="24"/>
          <w:szCs w:val="24"/>
        </w:rPr>
        <w:t>2020年度は「対策指標の設定に向けて検討中」としてい</w:t>
      </w:r>
      <w:r>
        <w:rPr>
          <w:rFonts w:asciiTheme="minorEastAsia" w:hAnsiTheme="minorEastAsia" w:hint="eastAsia"/>
          <w:sz w:val="24"/>
          <w:szCs w:val="24"/>
        </w:rPr>
        <w:t>た</w:t>
      </w:r>
      <w:r w:rsidR="0031331E">
        <w:rPr>
          <w:rFonts w:asciiTheme="minorEastAsia" w:hAnsiTheme="minorEastAsia" w:hint="eastAsia"/>
          <w:sz w:val="24"/>
          <w:szCs w:val="24"/>
        </w:rPr>
        <w:t>。</w:t>
      </w:r>
    </w:p>
    <w:p w:rsidR="003A1B3C" w:rsidRPr="005E49C7" w:rsidRDefault="00374063" w:rsidP="003740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このたび、</w:t>
      </w:r>
      <w:r w:rsidR="007038FA">
        <w:rPr>
          <w:rFonts w:asciiTheme="minorEastAsia" w:hAnsiTheme="minorEastAsia" w:hint="eastAsia"/>
          <w:sz w:val="24"/>
          <w:szCs w:val="24"/>
        </w:rPr>
        <w:t>循環計画</w:t>
      </w:r>
      <w:r w:rsidR="0031331E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2016年６月に</w:t>
      </w:r>
      <w:r w:rsidR="0070150C">
        <w:rPr>
          <w:rFonts w:asciiTheme="minorEastAsia" w:hAnsiTheme="minorEastAsia" w:hint="eastAsia"/>
          <w:sz w:val="24"/>
          <w:szCs w:val="24"/>
        </w:rPr>
        <w:t>改</w:t>
      </w:r>
      <w:r w:rsidR="007038FA">
        <w:rPr>
          <w:rFonts w:asciiTheme="minorEastAsia" w:hAnsiTheme="minorEastAsia" w:hint="eastAsia"/>
          <w:sz w:val="24"/>
          <w:szCs w:val="24"/>
        </w:rPr>
        <w:t>定</w:t>
      </w:r>
      <w:r w:rsidR="0031331E">
        <w:rPr>
          <w:rFonts w:asciiTheme="minorEastAsia" w:hAnsiTheme="minorEastAsia" w:hint="eastAsia"/>
          <w:sz w:val="24"/>
          <w:szCs w:val="24"/>
        </w:rPr>
        <w:t>され</w:t>
      </w:r>
      <w:r w:rsidR="0070150C">
        <w:rPr>
          <w:rFonts w:asciiTheme="minorEastAsia" w:hAnsiTheme="minorEastAsia" w:hint="eastAsia"/>
          <w:sz w:val="24"/>
          <w:szCs w:val="24"/>
        </w:rPr>
        <w:t>たことを受け</w:t>
      </w:r>
      <w:r w:rsidR="0031331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数値設定の</w:t>
      </w:r>
      <w:r w:rsidR="0031331E">
        <w:rPr>
          <w:rFonts w:asciiTheme="minorEastAsia" w:hAnsiTheme="minorEastAsia" w:hint="eastAsia"/>
          <w:sz w:val="24"/>
          <w:szCs w:val="24"/>
        </w:rPr>
        <w:t>検討を行った。</w:t>
      </w:r>
    </w:p>
    <w:p w:rsidR="00F17D2C" w:rsidRPr="005E49C7" w:rsidRDefault="0038367A" w:rsidP="003F7B44">
      <w:pPr>
        <w:spacing w:beforeLines="50" w:before="1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表１　</w:t>
      </w:r>
      <w:r w:rsidR="003D5D8D">
        <w:rPr>
          <w:rFonts w:asciiTheme="minorEastAsia" w:hAnsiTheme="minorEastAsia" w:hint="eastAsia"/>
          <w:sz w:val="24"/>
        </w:rPr>
        <w:t>現状の</w:t>
      </w:r>
      <w:r>
        <w:rPr>
          <w:rFonts w:asciiTheme="minorEastAsia" w:hAnsiTheme="minorEastAsia" w:hint="eastAsia"/>
          <w:sz w:val="24"/>
        </w:rPr>
        <w:t>対策指標</w:t>
      </w:r>
    </w:p>
    <w:tbl>
      <w:tblPr>
        <w:tblStyle w:val="a3"/>
        <w:tblW w:w="8839" w:type="dxa"/>
        <w:jc w:val="center"/>
        <w:tblLook w:val="04A0" w:firstRow="1" w:lastRow="0" w:firstColumn="1" w:lastColumn="0" w:noHBand="0" w:noVBand="1"/>
      </w:tblPr>
      <w:tblGrid>
        <w:gridCol w:w="1236"/>
        <w:gridCol w:w="4596"/>
        <w:gridCol w:w="1082"/>
        <w:gridCol w:w="962"/>
        <w:gridCol w:w="963"/>
      </w:tblGrid>
      <w:tr w:rsidR="00226951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 w:hint="eastAsia"/>
              </w:rPr>
              <w:t>部門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 w:hint="eastAsia"/>
              </w:rPr>
              <w:t>指標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/>
              </w:rPr>
              <w:t>2012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/>
              </w:rPr>
              <w:t>2020</w:t>
            </w:r>
          </w:p>
        </w:tc>
      </w:tr>
      <w:tr w:rsidR="00226951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一人当たりのエネルギー消費量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GJ/人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6951" w:rsidRPr="005E49C7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</w:tr>
      <w:tr w:rsidR="00226951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床面積あたりのエネルギー消費量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GJ/千㎡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1,032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840</w:t>
            </w:r>
          </w:p>
        </w:tc>
      </w:tr>
      <w:tr w:rsidR="00226951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条例対象事業者の温室効果ガス排出量削減率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2012年度比５％減</w:t>
            </w:r>
          </w:p>
        </w:tc>
      </w:tr>
      <w:tr w:rsidR="00226951" w:rsidRPr="005E49C7" w:rsidTr="00B85589">
        <w:trPr>
          <w:trHeight w:val="459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運輸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保有台数に占めるエコカーの割合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</w:p>
        </w:tc>
      </w:tr>
      <w:tr w:rsidR="00B85589" w:rsidRPr="005E49C7" w:rsidTr="00B85589">
        <w:trPr>
          <w:trHeight w:val="459"/>
          <w:jc w:val="center"/>
        </w:trPr>
        <w:tc>
          <w:tcPr>
            <w:tcW w:w="1236" w:type="dxa"/>
            <w:shd w:val="pct25" w:color="auto" w:fill="auto"/>
            <w:vAlign w:val="center"/>
          </w:tcPr>
          <w:p w:rsidR="00226951" w:rsidRPr="00A901FC" w:rsidRDefault="00226951" w:rsidP="00BE0582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A901FC">
              <w:rPr>
                <w:rFonts w:asciiTheme="minorEastAsia" w:hAnsiTheme="minorEastAsia" w:hint="eastAsia"/>
                <w:u w:val="single"/>
              </w:rPr>
              <w:t>廃棄物</w:t>
            </w:r>
          </w:p>
        </w:tc>
        <w:tc>
          <w:tcPr>
            <w:tcW w:w="4596" w:type="dxa"/>
            <w:shd w:val="pct25" w:color="auto" w:fill="auto"/>
            <w:vAlign w:val="center"/>
          </w:tcPr>
          <w:p w:rsidR="00226951" w:rsidRPr="00A901FC" w:rsidRDefault="00226951" w:rsidP="00BE0582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A901FC">
              <w:rPr>
                <w:rFonts w:asciiTheme="minorEastAsia" w:hAnsiTheme="minorEastAsia" w:hint="eastAsia"/>
                <w:u w:val="single"/>
              </w:rPr>
              <w:t>一般廃棄物の廃プラスチックの焼却量</w:t>
            </w:r>
          </w:p>
        </w:tc>
        <w:tc>
          <w:tcPr>
            <w:tcW w:w="1082" w:type="dxa"/>
            <w:shd w:val="pct25" w:color="auto" w:fill="auto"/>
            <w:vAlign w:val="center"/>
          </w:tcPr>
          <w:p w:rsidR="00226951" w:rsidRPr="00A901FC" w:rsidRDefault="00226951" w:rsidP="00BE0582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A901FC">
              <w:rPr>
                <w:rFonts w:asciiTheme="minorEastAsia" w:hAnsiTheme="minorEastAsia" w:hint="eastAsia"/>
                <w:u w:val="single"/>
              </w:rPr>
              <w:t>万</w:t>
            </w:r>
            <w:r w:rsidRPr="00A901FC">
              <w:rPr>
                <w:rFonts w:asciiTheme="minorEastAsia" w:hAnsiTheme="minorEastAsia"/>
                <w:u w:val="single"/>
              </w:rPr>
              <w:t>t</w:t>
            </w:r>
          </w:p>
        </w:tc>
        <w:tc>
          <w:tcPr>
            <w:tcW w:w="962" w:type="dxa"/>
            <w:shd w:val="pct25" w:color="auto" w:fill="auto"/>
            <w:vAlign w:val="center"/>
          </w:tcPr>
          <w:p w:rsidR="00226951" w:rsidRPr="00A901FC" w:rsidRDefault="00226951" w:rsidP="00BE0582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A901FC">
              <w:rPr>
                <w:rFonts w:asciiTheme="minorEastAsia" w:hAnsiTheme="minorEastAsia"/>
                <w:u w:val="single"/>
              </w:rPr>
              <w:t>60</w:t>
            </w:r>
          </w:p>
        </w:tc>
        <w:tc>
          <w:tcPr>
            <w:tcW w:w="963" w:type="dxa"/>
            <w:shd w:val="pct25" w:color="auto" w:fill="auto"/>
            <w:vAlign w:val="center"/>
          </w:tcPr>
          <w:p w:rsidR="00226951" w:rsidRPr="00A901FC" w:rsidRDefault="00226951" w:rsidP="00BE0582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A901FC">
              <w:rPr>
                <w:rFonts w:asciiTheme="minorEastAsia" w:hAnsiTheme="minorEastAsia" w:hint="eastAsia"/>
                <w:u w:val="single"/>
              </w:rPr>
              <w:t>‐</w:t>
            </w:r>
            <w:r w:rsidRPr="00A901FC">
              <w:rPr>
                <w:rFonts w:asciiTheme="minorEastAsia" w:hAnsiTheme="minorEastAsia"/>
                <w:u w:val="single"/>
                <w:vertAlign w:val="superscript"/>
              </w:rPr>
              <w:t>(※１</w:t>
            </w:r>
            <w:r>
              <w:rPr>
                <w:rFonts w:asciiTheme="minorEastAsia" w:hAnsiTheme="minorEastAsia" w:hint="eastAsia"/>
                <w:u w:val="single"/>
                <w:vertAlign w:val="superscript"/>
              </w:rPr>
              <w:t>)</w:t>
            </w:r>
          </w:p>
        </w:tc>
      </w:tr>
      <w:tr w:rsidR="00226951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再エネ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太陽光発電導入量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万kW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115</w:t>
            </w:r>
          </w:p>
        </w:tc>
      </w:tr>
      <w:tr w:rsidR="00226951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森林吸収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森林経営計画累計面積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26951" w:rsidRDefault="00226951" w:rsidP="00BE058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4,000</w:t>
            </w:r>
          </w:p>
        </w:tc>
      </w:tr>
    </w:tbl>
    <w:p w:rsidR="003C2B4C" w:rsidRPr="00A901FC" w:rsidRDefault="00226951" w:rsidP="00A901FC">
      <w:pPr>
        <w:ind w:firstLineChars="250" w:firstLine="500"/>
        <w:rPr>
          <w:rFonts w:asciiTheme="minorEastAsia" w:hAnsiTheme="minorEastAsia"/>
          <w:sz w:val="24"/>
          <w:u w:val="single"/>
        </w:rPr>
      </w:pPr>
      <w:r w:rsidRPr="00A901FC">
        <w:rPr>
          <w:rFonts w:asciiTheme="minorEastAsia" w:hAnsiTheme="minorEastAsia" w:hint="eastAsia"/>
          <w:sz w:val="20"/>
          <w:u w:val="single"/>
        </w:rPr>
        <w:t>※１　対策指標の設定に向けて検討中</w:t>
      </w:r>
    </w:p>
    <w:p w:rsidR="00226951" w:rsidRDefault="00226951" w:rsidP="001E20EC">
      <w:pPr>
        <w:rPr>
          <w:rFonts w:asciiTheme="minorEastAsia" w:hAnsiTheme="minorEastAsia"/>
          <w:sz w:val="24"/>
        </w:rPr>
      </w:pPr>
    </w:p>
    <w:p w:rsidR="009F4145" w:rsidRDefault="009F4145" w:rsidP="001E20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31331E"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 w:hint="eastAsia"/>
          <w:sz w:val="24"/>
        </w:rPr>
        <w:t>）</w:t>
      </w:r>
      <w:r w:rsidR="0031331E">
        <w:rPr>
          <w:rFonts w:asciiTheme="minorEastAsia" w:hAnsiTheme="minorEastAsia" w:hint="eastAsia"/>
          <w:sz w:val="24"/>
        </w:rPr>
        <w:t>2012年度</w:t>
      </w:r>
      <w:r w:rsidR="0070150C">
        <w:rPr>
          <w:rFonts w:asciiTheme="minorEastAsia" w:hAnsiTheme="minorEastAsia" w:hint="eastAsia"/>
          <w:sz w:val="24"/>
        </w:rPr>
        <w:t>の一般廃棄物の廃プラスチックの焼却量</w:t>
      </w:r>
    </w:p>
    <w:p w:rsidR="006460CE" w:rsidRPr="00411C5D" w:rsidRDefault="00197540" w:rsidP="003F7B44">
      <w:pPr>
        <w:ind w:leftChars="200" w:left="42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実行計画</w:t>
      </w:r>
      <w:r w:rsidR="00BB136E">
        <w:rPr>
          <w:rFonts w:asciiTheme="minorEastAsia" w:hAnsiTheme="minorEastAsia" w:hint="eastAsia"/>
          <w:sz w:val="24"/>
        </w:rPr>
        <w:t>で</w:t>
      </w:r>
      <w:r w:rsidR="00B85589">
        <w:rPr>
          <w:rFonts w:asciiTheme="minorEastAsia" w:hAnsiTheme="minorEastAsia" w:hint="eastAsia"/>
          <w:sz w:val="24"/>
        </w:rPr>
        <w:t>は</w:t>
      </w:r>
      <w:r>
        <w:rPr>
          <w:rFonts w:asciiTheme="minorEastAsia" w:hAnsiTheme="minorEastAsia" w:hint="eastAsia"/>
          <w:sz w:val="24"/>
        </w:rPr>
        <w:t>、2012年度の一般廃棄物の廃プラスチック焼却量を</w:t>
      </w:r>
      <w:r w:rsidR="0031331E">
        <w:rPr>
          <w:rFonts w:asciiTheme="minorEastAsia" w:hAnsiTheme="minorEastAsia" w:hint="eastAsia"/>
          <w:sz w:val="24"/>
        </w:rPr>
        <w:t>表１のとおり</w:t>
      </w:r>
      <w:r>
        <w:rPr>
          <w:rFonts w:asciiTheme="minorEastAsia" w:hAnsiTheme="minorEastAsia" w:hint="eastAsia"/>
          <w:sz w:val="24"/>
        </w:rPr>
        <w:t>60</w:t>
      </w:r>
      <w:r w:rsidR="00411C5D">
        <w:rPr>
          <w:rFonts w:asciiTheme="minorEastAsia" w:hAnsiTheme="minorEastAsia" w:hint="eastAsia"/>
          <w:sz w:val="24"/>
        </w:rPr>
        <w:t>万ｔ</w:t>
      </w:r>
      <w:r w:rsidR="00B85589">
        <w:rPr>
          <w:rFonts w:asciiTheme="minorEastAsia" w:hAnsiTheme="minorEastAsia" w:hint="eastAsia"/>
          <w:sz w:val="24"/>
        </w:rPr>
        <w:t>としている</w:t>
      </w:r>
      <w:r w:rsidR="00411C5D">
        <w:rPr>
          <w:rFonts w:asciiTheme="minorEastAsia" w:hAnsiTheme="minorEastAsia" w:hint="eastAsia"/>
          <w:sz w:val="24"/>
        </w:rPr>
        <w:t>。</w:t>
      </w:r>
      <w:r w:rsidR="0031331E">
        <w:rPr>
          <w:rFonts w:asciiTheme="minorEastAsia" w:hAnsiTheme="minorEastAsia" w:hint="eastAsia"/>
          <w:sz w:val="24"/>
        </w:rPr>
        <w:t>60万ｔの内訳は廃プラスチックと合成繊維くず</w:t>
      </w:r>
      <w:r w:rsidR="00B85589">
        <w:rPr>
          <w:rFonts w:asciiTheme="minorEastAsia" w:hAnsiTheme="minorEastAsia" w:hint="eastAsia"/>
          <w:sz w:val="24"/>
        </w:rPr>
        <w:t>の</w:t>
      </w:r>
      <w:r w:rsidR="0070150C">
        <w:rPr>
          <w:rFonts w:asciiTheme="minorEastAsia" w:hAnsiTheme="minorEastAsia" w:hint="eastAsia"/>
          <w:sz w:val="24"/>
        </w:rPr>
        <w:t>焼却量の</w:t>
      </w:r>
      <w:r w:rsidR="00B85589">
        <w:rPr>
          <w:rFonts w:asciiTheme="minorEastAsia" w:hAnsiTheme="minorEastAsia" w:hint="eastAsia"/>
          <w:sz w:val="24"/>
        </w:rPr>
        <w:t>合計</w:t>
      </w:r>
      <w:r w:rsidR="0031331E">
        <w:rPr>
          <w:rFonts w:asciiTheme="minorEastAsia" w:hAnsiTheme="minorEastAsia" w:hint="eastAsia"/>
          <w:sz w:val="24"/>
        </w:rPr>
        <w:t>になるが、</w:t>
      </w:r>
      <w:r w:rsidR="001652A7">
        <w:rPr>
          <w:rFonts w:asciiTheme="minorEastAsia" w:hAnsiTheme="minorEastAsia" w:hint="eastAsia"/>
          <w:sz w:val="24"/>
        </w:rPr>
        <w:t>表２のとおり</w:t>
      </w:r>
      <w:r w:rsidR="0031331E">
        <w:rPr>
          <w:rFonts w:asciiTheme="minorEastAsia" w:hAnsiTheme="minorEastAsia" w:hint="eastAsia"/>
          <w:sz w:val="24"/>
        </w:rPr>
        <w:t>根拠となる廃プラスチックの</w:t>
      </w:r>
      <w:r w:rsidR="001652A7">
        <w:rPr>
          <w:rFonts w:asciiTheme="minorEastAsia" w:hAnsiTheme="minorEastAsia" w:hint="eastAsia"/>
          <w:sz w:val="24"/>
        </w:rPr>
        <w:t>比率が</w:t>
      </w:r>
      <w:r w:rsidR="00BB136E">
        <w:rPr>
          <w:rFonts w:asciiTheme="minorEastAsia" w:hAnsiTheme="minorEastAsia" w:hint="eastAsia"/>
          <w:sz w:val="24"/>
        </w:rPr>
        <w:t>2007年度</w:t>
      </w:r>
      <w:r w:rsidR="00511DC9">
        <w:rPr>
          <w:rFonts w:asciiTheme="minorEastAsia" w:hAnsiTheme="minorEastAsia" w:hint="eastAsia"/>
          <w:sz w:val="24"/>
        </w:rPr>
        <w:t>のデータ</w:t>
      </w:r>
      <w:r w:rsidR="00BB136E">
        <w:rPr>
          <w:rFonts w:asciiTheme="minorEastAsia" w:hAnsiTheme="minorEastAsia" w:hint="eastAsia"/>
          <w:sz w:val="24"/>
        </w:rPr>
        <w:t>を使用して</w:t>
      </w:r>
      <w:r w:rsidR="00511DC9">
        <w:rPr>
          <w:rFonts w:asciiTheme="minorEastAsia" w:hAnsiTheme="minorEastAsia" w:hint="eastAsia"/>
          <w:sz w:val="24"/>
        </w:rPr>
        <w:t>おり</w:t>
      </w:r>
      <w:r w:rsidR="00BB136E">
        <w:rPr>
          <w:rFonts w:asciiTheme="minorEastAsia" w:hAnsiTheme="minorEastAsia" w:hint="eastAsia"/>
          <w:sz w:val="24"/>
        </w:rPr>
        <w:t>実態</w:t>
      </w:r>
      <w:r w:rsidR="001652A7">
        <w:rPr>
          <w:rFonts w:asciiTheme="minorEastAsia" w:hAnsiTheme="minorEastAsia" w:hint="eastAsia"/>
          <w:sz w:val="24"/>
        </w:rPr>
        <w:t>と</w:t>
      </w:r>
      <w:r w:rsidR="00B85589">
        <w:rPr>
          <w:rFonts w:asciiTheme="minorEastAsia" w:hAnsiTheme="minorEastAsia" w:hint="eastAsia"/>
          <w:sz w:val="24"/>
        </w:rPr>
        <w:t>合わなくなってきていること</w:t>
      </w:r>
      <w:r w:rsidR="001652A7">
        <w:rPr>
          <w:rFonts w:asciiTheme="minorEastAsia" w:hAnsiTheme="minorEastAsia" w:hint="eastAsia"/>
          <w:sz w:val="24"/>
        </w:rPr>
        <w:t>、合成繊維くず焼却量</w:t>
      </w:r>
      <w:r w:rsidR="0070150C">
        <w:rPr>
          <w:rFonts w:asciiTheme="minorEastAsia" w:hAnsiTheme="minorEastAsia" w:hint="eastAsia"/>
          <w:sz w:val="24"/>
        </w:rPr>
        <w:t>のデータ</w:t>
      </w:r>
      <w:r w:rsidR="00374063">
        <w:rPr>
          <w:rFonts w:asciiTheme="minorEastAsia" w:hAnsiTheme="minorEastAsia" w:hint="eastAsia"/>
          <w:sz w:val="24"/>
        </w:rPr>
        <w:t>がない</w:t>
      </w:r>
      <w:r w:rsidR="001652A7">
        <w:rPr>
          <w:rFonts w:asciiTheme="minorEastAsia" w:hAnsiTheme="minorEastAsia" w:hint="eastAsia"/>
          <w:sz w:val="24"/>
        </w:rPr>
        <w:t>ことから、表３のとおり</w:t>
      </w:r>
      <w:r w:rsidR="00374063">
        <w:rPr>
          <w:rFonts w:asciiTheme="minorEastAsia" w:hAnsiTheme="minorEastAsia" w:hint="eastAsia"/>
          <w:sz w:val="24"/>
        </w:rPr>
        <w:t>、</w:t>
      </w:r>
      <w:r w:rsidR="00BB136E">
        <w:rPr>
          <w:rFonts w:asciiTheme="minorEastAsia" w:hAnsiTheme="minorEastAsia" w:hint="eastAsia"/>
          <w:sz w:val="24"/>
        </w:rPr>
        <w:t>算定方法と</w:t>
      </w:r>
      <w:r w:rsidR="001652A7">
        <w:rPr>
          <w:rFonts w:asciiTheme="minorEastAsia" w:hAnsiTheme="minorEastAsia" w:hint="eastAsia"/>
          <w:sz w:val="24"/>
        </w:rPr>
        <w:t>2012年度の数値を見直</w:t>
      </w:r>
      <w:r w:rsidR="0070150C">
        <w:rPr>
          <w:rFonts w:asciiTheme="minorEastAsia" w:hAnsiTheme="minorEastAsia" w:hint="eastAsia"/>
          <w:sz w:val="24"/>
        </w:rPr>
        <w:t>す</w:t>
      </w:r>
      <w:r w:rsidR="001652A7">
        <w:rPr>
          <w:rFonts w:asciiTheme="minorEastAsia" w:hAnsiTheme="minorEastAsia" w:hint="eastAsia"/>
          <w:sz w:val="24"/>
        </w:rPr>
        <w:t>。</w:t>
      </w:r>
    </w:p>
    <w:p w:rsidR="006460CE" w:rsidRDefault="006460CE" w:rsidP="00BB136E">
      <w:pPr>
        <w:spacing w:beforeLines="50" w:before="180"/>
        <w:ind w:left="240" w:hangingChars="100" w:hanging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表２　廃プラスチック比率の変更</w:t>
      </w:r>
    </w:p>
    <w:tbl>
      <w:tblPr>
        <w:tblStyle w:val="a3"/>
        <w:tblW w:w="0" w:type="auto"/>
        <w:jc w:val="center"/>
        <w:tblInd w:w="240" w:type="dxa"/>
        <w:tblLook w:val="04A0" w:firstRow="1" w:lastRow="0" w:firstColumn="1" w:lastColumn="0" w:noHBand="0" w:noVBand="1"/>
      </w:tblPr>
      <w:tblGrid>
        <w:gridCol w:w="1116"/>
        <w:gridCol w:w="7276"/>
      </w:tblGrid>
      <w:tr w:rsidR="006460CE" w:rsidTr="002F34D8">
        <w:trPr>
          <w:jc w:val="center"/>
        </w:trPr>
        <w:tc>
          <w:tcPr>
            <w:tcW w:w="1116" w:type="dxa"/>
          </w:tcPr>
          <w:p w:rsidR="006460CE" w:rsidRDefault="006460CE" w:rsidP="0019754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76" w:type="dxa"/>
          </w:tcPr>
          <w:p w:rsidR="006460CE" w:rsidRDefault="006460CE" w:rsidP="00553E7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廃プラスチック比率</w:t>
            </w:r>
          </w:p>
        </w:tc>
      </w:tr>
      <w:tr w:rsidR="006460CE" w:rsidTr="002F34D8">
        <w:trPr>
          <w:trHeight w:val="569"/>
          <w:jc w:val="center"/>
        </w:trPr>
        <w:tc>
          <w:tcPr>
            <w:tcW w:w="1116" w:type="dxa"/>
            <w:vAlign w:val="center"/>
          </w:tcPr>
          <w:p w:rsidR="006460CE" w:rsidRDefault="008F0D82" w:rsidP="00553E7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現状</w:t>
            </w:r>
          </w:p>
        </w:tc>
        <w:tc>
          <w:tcPr>
            <w:tcW w:w="7276" w:type="dxa"/>
            <w:vAlign w:val="center"/>
          </w:tcPr>
          <w:p w:rsidR="006460CE" w:rsidRDefault="000871C6" w:rsidP="000871C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ごみ質測定実績による廃プラスチック</w:t>
            </w:r>
            <w:r w:rsidRPr="00B85589">
              <w:rPr>
                <w:rFonts w:asciiTheme="minorEastAsia" w:hAnsiTheme="minorEastAsia" w:hint="eastAsia"/>
                <w:sz w:val="24"/>
                <w:vertAlign w:val="superscript"/>
              </w:rPr>
              <w:t>※１</w:t>
            </w:r>
            <w:r>
              <w:rPr>
                <w:rFonts w:asciiTheme="minorEastAsia" w:hAnsiTheme="minorEastAsia" w:hint="eastAsia"/>
                <w:sz w:val="24"/>
              </w:rPr>
              <w:t>（2007年度）：</w:t>
            </w:r>
            <w:r w:rsidR="006460CE">
              <w:rPr>
                <w:rFonts w:asciiTheme="minorEastAsia" w:hAnsiTheme="minorEastAsia" w:hint="eastAsia"/>
                <w:sz w:val="24"/>
              </w:rPr>
              <w:t>21％</w:t>
            </w:r>
          </w:p>
          <w:p w:rsidR="0070150C" w:rsidRDefault="0070150C" w:rsidP="0070150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繊維くず比率：6.65％</w:t>
            </w:r>
            <w:r w:rsidRPr="002F34D8">
              <w:rPr>
                <w:rFonts w:asciiTheme="minorEastAsia" w:hAnsiTheme="minorEastAsia" w:hint="eastAsia"/>
                <w:sz w:val="24"/>
                <w:vertAlign w:val="superscript"/>
              </w:rPr>
              <w:t>※２</w:t>
            </w:r>
            <w:r>
              <w:rPr>
                <w:rFonts w:asciiTheme="minorEastAsia" w:hAnsiTheme="minorEastAsia" w:hint="eastAsia"/>
                <w:sz w:val="24"/>
              </w:rPr>
              <w:t xml:space="preserve">　　合成繊維くず比率：64.1％</w:t>
            </w:r>
            <w:r w:rsidRPr="002F34D8">
              <w:rPr>
                <w:rFonts w:asciiTheme="minorEastAsia" w:hAnsiTheme="minorEastAsia" w:hint="eastAsia"/>
                <w:sz w:val="24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 w:val="24"/>
                <w:vertAlign w:val="superscript"/>
              </w:rPr>
              <w:t>３</w:t>
            </w:r>
          </w:p>
        </w:tc>
      </w:tr>
      <w:tr w:rsidR="006460CE" w:rsidTr="002F34D8">
        <w:trPr>
          <w:jc w:val="center"/>
        </w:trPr>
        <w:tc>
          <w:tcPr>
            <w:tcW w:w="1116" w:type="dxa"/>
            <w:vAlign w:val="center"/>
          </w:tcPr>
          <w:p w:rsidR="006460CE" w:rsidRDefault="006460CE" w:rsidP="00553E7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</w:t>
            </w:r>
            <w:r w:rsidR="002F34D8">
              <w:rPr>
                <w:rFonts w:asciiTheme="minorEastAsia" w:hAnsiTheme="minorEastAsia" w:hint="eastAsia"/>
                <w:sz w:val="24"/>
              </w:rPr>
              <w:t>案</w:t>
            </w:r>
          </w:p>
        </w:tc>
        <w:tc>
          <w:tcPr>
            <w:tcW w:w="7276" w:type="dxa"/>
          </w:tcPr>
          <w:p w:rsidR="006460CE" w:rsidRPr="006460CE" w:rsidRDefault="006460CE" w:rsidP="00D42F14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</w:t>
            </w:r>
            <w:r w:rsidRPr="006460CE">
              <w:rPr>
                <w:rFonts w:asciiTheme="minorEastAsia" w:hAnsiTheme="minorEastAsia" w:hint="eastAsia"/>
                <w:sz w:val="24"/>
              </w:rPr>
              <w:t>生活系ごみに含まれる廃プラスチックの割合：</w:t>
            </w:r>
          </w:p>
          <w:p w:rsidR="006460CE" w:rsidRPr="006460CE" w:rsidRDefault="006460CE" w:rsidP="00D42F14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  <w:r w:rsidRPr="006460CE">
              <w:rPr>
                <w:rFonts w:asciiTheme="minorEastAsia" w:hAnsiTheme="minorEastAsia" w:hint="eastAsia"/>
                <w:sz w:val="24"/>
              </w:rPr>
              <w:t>プラスチック分別収集を実施している35市町村</w:t>
            </w:r>
            <w:r w:rsidR="002F34D8">
              <w:rPr>
                <w:rFonts w:asciiTheme="minorEastAsia" w:hAnsiTheme="minorEastAsia" w:hint="eastAsia"/>
                <w:sz w:val="24"/>
              </w:rPr>
              <w:t>：</w:t>
            </w:r>
            <w:r w:rsidRPr="006460CE">
              <w:rPr>
                <w:rFonts w:asciiTheme="minorEastAsia" w:hAnsiTheme="minorEastAsia" w:hint="eastAsia"/>
                <w:sz w:val="24"/>
              </w:rPr>
              <w:t>6.5％</w:t>
            </w:r>
            <w:r w:rsidR="002F34D8" w:rsidRPr="002F34D8">
              <w:rPr>
                <w:rFonts w:asciiTheme="minorEastAsia" w:hAnsiTheme="minorEastAsia" w:hint="eastAsia"/>
                <w:sz w:val="24"/>
                <w:vertAlign w:val="superscript"/>
              </w:rPr>
              <w:t>※</w:t>
            </w:r>
            <w:r w:rsidR="0070150C">
              <w:rPr>
                <w:rFonts w:asciiTheme="minorEastAsia" w:hAnsiTheme="minorEastAsia" w:hint="eastAsia"/>
                <w:sz w:val="24"/>
                <w:vertAlign w:val="superscript"/>
              </w:rPr>
              <w:t>４</w:t>
            </w:r>
          </w:p>
          <w:p w:rsidR="006460CE" w:rsidRPr="006460CE" w:rsidRDefault="006460CE" w:rsidP="00D42F14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・</w:t>
            </w:r>
            <w:r w:rsidRPr="006460CE">
              <w:rPr>
                <w:rFonts w:asciiTheme="minorEastAsia" w:hAnsiTheme="minorEastAsia" w:hint="eastAsia"/>
                <w:sz w:val="24"/>
              </w:rPr>
              <w:t>プラスチック分別収集を実施していない８市町</w:t>
            </w:r>
            <w:r w:rsidR="002F34D8">
              <w:rPr>
                <w:rFonts w:asciiTheme="minorEastAsia" w:hAnsiTheme="minorEastAsia" w:hint="eastAsia"/>
                <w:sz w:val="24"/>
              </w:rPr>
              <w:t>：</w:t>
            </w:r>
            <w:r w:rsidRPr="006460CE">
              <w:rPr>
                <w:rFonts w:asciiTheme="minorEastAsia" w:hAnsiTheme="minorEastAsia" w:hint="eastAsia"/>
                <w:sz w:val="24"/>
              </w:rPr>
              <w:t>13.4％</w:t>
            </w:r>
            <w:r w:rsidR="002F34D8" w:rsidRPr="002F34D8">
              <w:rPr>
                <w:rFonts w:asciiTheme="minorEastAsia" w:hAnsiTheme="minorEastAsia" w:hint="eastAsia"/>
                <w:sz w:val="24"/>
                <w:vertAlign w:val="superscript"/>
              </w:rPr>
              <w:t>※</w:t>
            </w:r>
            <w:r w:rsidR="0070150C">
              <w:rPr>
                <w:rFonts w:asciiTheme="minorEastAsia" w:hAnsiTheme="minorEastAsia" w:hint="eastAsia"/>
                <w:sz w:val="24"/>
                <w:vertAlign w:val="superscript"/>
              </w:rPr>
              <w:t>４</w:t>
            </w:r>
          </w:p>
          <w:p w:rsidR="006460CE" w:rsidRDefault="006460CE" w:rsidP="002446CD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</w:t>
            </w:r>
            <w:r w:rsidRPr="006460CE">
              <w:rPr>
                <w:rFonts w:asciiTheme="minorEastAsia" w:hAnsiTheme="minorEastAsia" w:hint="eastAsia"/>
                <w:sz w:val="24"/>
              </w:rPr>
              <w:t>事業系ごみに含まれる廃プラスチックの割合：16.2％</w:t>
            </w:r>
            <w:r w:rsidR="002F34D8" w:rsidRPr="002F34D8">
              <w:rPr>
                <w:rFonts w:asciiTheme="minorEastAsia" w:hAnsiTheme="minorEastAsia" w:hint="eastAsia"/>
                <w:sz w:val="24"/>
                <w:vertAlign w:val="superscript"/>
              </w:rPr>
              <w:t>※</w:t>
            </w:r>
            <w:r w:rsidR="002446CD">
              <w:rPr>
                <w:rFonts w:asciiTheme="minorEastAsia" w:hAnsiTheme="minorEastAsia" w:hint="eastAsia"/>
                <w:sz w:val="24"/>
                <w:vertAlign w:val="superscript"/>
              </w:rPr>
              <w:t>４</w:t>
            </w:r>
          </w:p>
        </w:tc>
      </w:tr>
    </w:tbl>
    <w:p w:rsidR="00516508" w:rsidRDefault="00516508" w:rsidP="002F34D8">
      <w:pPr>
        <w:spacing w:line="0" w:lineRule="atLeast"/>
        <w:ind w:leftChars="400" w:left="840"/>
        <w:rPr>
          <w:rFonts w:asciiTheme="minorEastAsia" w:hAnsiTheme="minorEastAsia"/>
          <w:sz w:val="20"/>
        </w:rPr>
      </w:pPr>
      <w:r w:rsidRPr="00935CAC">
        <w:rPr>
          <w:rFonts w:asciiTheme="minorEastAsia" w:hAnsiTheme="minorEastAsia" w:hint="eastAsia"/>
          <w:sz w:val="20"/>
        </w:rPr>
        <w:t xml:space="preserve">※１　</w:t>
      </w:r>
      <w:r w:rsidR="002F34D8" w:rsidRPr="00935CAC">
        <w:rPr>
          <w:rFonts w:asciiTheme="minorEastAsia" w:hAnsiTheme="minorEastAsia" w:hint="eastAsia"/>
          <w:sz w:val="20"/>
        </w:rPr>
        <w:t>大阪府</w:t>
      </w:r>
      <w:r w:rsidR="00935CAC" w:rsidRPr="00935CAC">
        <w:rPr>
          <w:rFonts w:asciiTheme="minorEastAsia" w:hAnsiTheme="minorEastAsia" w:hint="eastAsia"/>
          <w:sz w:val="20"/>
        </w:rPr>
        <w:t xml:space="preserve">の一般廃棄物（大阪府　</w:t>
      </w:r>
      <w:r w:rsidR="00912E19" w:rsidRPr="00FB12BD">
        <w:rPr>
          <w:rFonts w:asciiTheme="minorEastAsia" w:hAnsiTheme="minorEastAsia"/>
          <w:sz w:val="20"/>
        </w:rPr>
        <w:t>2009</w:t>
      </w:r>
      <w:r w:rsidR="002F34D8" w:rsidRPr="00FB12BD">
        <w:rPr>
          <w:rFonts w:asciiTheme="minorEastAsia" w:hAnsiTheme="minorEastAsia" w:hint="eastAsia"/>
          <w:sz w:val="20"/>
        </w:rPr>
        <w:t>年</w:t>
      </w:r>
      <w:r w:rsidR="00912E19" w:rsidRPr="00FB12BD">
        <w:rPr>
          <w:rFonts w:asciiTheme="minorEastAsia" w:hAnsiTheme="minorEastAsia" w:hint="eastAsia"/>
          <w:sz w:val="20"/>
        </w:rPr>
        <w:t>７月</w:t>
      </w:r>
      <w:r w:rsidR="002F34D8" w:rsidRPr="00935CAC">
        <w:rPr>
          <w:rFonts w:asciiTheme="minorEastAsia" w:hAnsiTheme="minorEastAsia" w:hint="eastAsia"/>
          <w:sz w:val="20"/>
        </w:rPr>
        <w:t>）</w:t>
      </w:r>
    </w:p>
    <w:p w:rsidR="0070150C" w:rsidRDefault="0070150C" w:rsidP="002F34D8">
      <w:pPr>
        <w:spacing w:line="0" w:lineRule="atLeast"/>
        <w:ind w:leftChars="400" w:left="84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※２　</w:t>
      </w:r>
      <w:r w:rsidR="006A3220" w:rsidRPr="006A3220">
        <w:rPr>
          <w:rFonts w:asciiTheme="minorEastAsia" w:hAnsiTheme="minorEastAsia" w:hint="eastAsia"/>
          <w:sz w:val="20"/>
        </w:rPr>
        <w:t>温室効果ガス排出量算定・報告マニュアル（環境省・経済産業省）</w:t>
      </w:r>
    </w:p>
    <w:p w:rsidR="0070150C" w:rsidRPr="00935CAC" w:rsidRDefault="0070150C" w:rsidP="002F34D8">
      <w:pPr>
        <w:spacing w:line="0" w:lineRule="atLeast"/>
        <w:ind w:leftChars="400" w:left="84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※３　</w:t>
      </w:r>
      <w:r w:rsidR="006A3220">
        <w:rPr>
          <w:rFonts w:asciiTheme="minorEastAsia" w:hAnsiTheme="minorEastAsia" w:hint="eastAsia"/>
          <w:sz w:val="20"/>
        </w:rPr>
        <w:t>繊維ハンドブック（日本化学繊維協会）</w:t>
      </w:r>
    </w:p>
    <w:p w:rsidR="006364B7" w:rsidRDefault="006364B7" w:rsidP="002F34D8">
      <w:pPr>
        <w:spacing w:line="0" w:lineRule="atLeast"/>
        <w:ind w:leftChars="400" w:left="840"/>
        <w:rPr>
          <w:rFonts w:asciiTheme="minorEastAsia" w:hAnsiTheme="minorEastAsia"/>
          <w:sz w:val="18"/>
        </w:rPr>
      </w:pPr>
      <w:r w:rsidRPr="00935CAC">
        <w:rPr>
          <w:rFonts w:asciiTheme="minorEastAsia" w:hAnsiTheme="minorEastAsia" w:hint="eastAsia"/>
          <w:sz w:val="20"/>
        </w:rPr>
        <w:t>※</w:t>
      </w:r>
      <w:r w:rsidR="0070150C">
        <w:rPr>
          <w:rFonts w:asciiTheme="minorEastAsia" w:hAnsiTheme="minorEastAsia" w:hint="eastAsia"/>
          <w:sz w:val="20"/>
        </w:rPr>
        <w:t>４</w:t>
      </w:r>
      <w:r w:rsidR="00516508" w:rsidRPr="00935CAC">
        <w:rPr>
          <w:rFonts w:asciiTheme="minorEastAsia" w:hAnsiTheme="minorEastAsia" w:hint="eastAsia"/>
          <w:sz w:val="20"/>
        </w:rPr>
        <w:t xml:space="preserve">　</w:t>
      </w:r>
      <w:r w:rsidR="002F34D8" w:rsidRPr="00935CAC">
        <w:rPr>
          <w:rFonts w:asciiTheme="minorEastAsia" w:hAnsiTheme="minorEastAsia" w:hint="eastAsia"/>
          <w:sz w:val="20"/>
        </w:rPr>
        <w:t>大阪府一般廃棄物発生動向等解析調査報告書（大阪府　2016年</w:t>
      </w:r>
      <w:r w:rsidR="003F7B44">
        <w:rPr>
          <w:rFonts w:asciiTheme="minorEastAsia" w:hAnsiTheme="minorEastAsia" w:hint="eastAsia"/>
          <w:sz w:val="20"/>
        </w:rPr>
        <w:t>3</w:t>
      </w:r>
      <w:r w:rsidR="002F34D8" w:rsidRPr="00935CAC">
        <w:rPr>
          <w:rFonts w:asciiTheme="minorEastAsia" w:hAnsiTheme="minorEastAsia" w:hint="eastAsia"/>
          <w:sz w:val="20"/>
        </w:rPr>
        <w:t>月）</w:t>
      </w:r>
    </w:p>
    <w:p w:rsidR="006460CE" w:rsidRDefault="006460CE" w:rsidP="00553E75">
      <w:pPr>
        <w:ind w:left="240" w:hangingChars="100" w:hanging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表３　一般廃棄物の廃プラスチック焼却量の算定方法</w:t>
      </w:r>
      <w:r w:rsidR="00CF6894">
        <w:rPr>
          <w:rFonts w:asciiTheme="minorEastAsia" w:hAnsiTheme="minorEastAsia" w:hint="eastAsia"/>
          <w:sz w:val="24"/>
        </w:rPr>
        <w:t>と2012年度の数値</w:t>
      </w:r>
    </w:p>
    <w:tbl>
      <w:tblPr>
        <w:tblStyle w:val="a3"/>
        <w:tblW w:w="0" w:type="auto"/>
        <w:jc w:val="center"/>
        <w:tblInd w:w="240" w:type="dxa"/>
        <w:tblLook w:val="04A0" w:firstRow="1" w:lastRow="0" w:firstColumn="1" w:lastColumn="0" w:noHBand="0" w:noVBand="1"/>
      </w:tblPr>
      <w:tblGrid>
        <w:gridCol w:w="1116"/>
        <w:gridCol w:w="5059"/>
        <w:gridCol w:w="1926"/>
      </w:tblGrid>
      <w:tr w:rsidR="00BB136E" w:rsidTr="00BB136E">
        <w:trPr>
          <w:jc w:val="center"/>
        </w:trPr>
        <w:tc>
          <w:tcPr>
            <w:tcW w:w="1116" w:type="dxa"/>
            <w:vMerge w:val="restart"/>
            <w:vAlign w:val="center"/>
          </w:tcPr>
          <w:p w:rsidR="00BB136E" w:rsidRDefault="00BB136E" w:rsidP="001419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85" w:type="dxa"/>
            <w:gridSpan w:val="2"/>
            <w:vAlign w:val="center"/>
          </w:tcPr>
          <w:p w:rsidR="00BB136E" w:rsidRDefault="00BB136E" w:rsidP="00EB036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一般廃棄物の廃プラスチック焼却量</w:t>
            </w:r>
          </w:p>
        </w:tc>
      </w:tr>
      <w:tr w:rsidR="00BB136E" w:rsidTr="00BB136E">
        <w:trPr>
          <w:jc w:val="center"/>
        </w:trPr>
        <w:tc>
          <w:tcPr>
            <w:tcW w:w="1116" w:type="dxa"/>
            <w:vMerge/>
            <w:vAlign w:val="center"/>
          </w:tcPr>
          <w:p w:rsidR="00BB136E" w:rsidRDefault="00BB136E" w:rsidP="001419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059" w:type="dxa"/>
            <w:vAlign w:val="center"/>
          </w:tcPr>
          <w:p w:rsidR="00BB136E" w:rsidRDefault="00BB136E" w:rsidP="00EB036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算定方法</w:t>
            </w:r>
          </w:p>
        </w:tc>
        <w:tc>
          <w:tcPr>
            <w:tcW w:w="1926" w:type="dxa"/>
            <w:vAlign w:val="center"/>
          </w:tcPr>
          <w:p w:rsidR="00BB136E" w:rsidRDefault="00BB136E" w:rsidP="00EB036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2012年度の数値</w:t>
            </w:r>
          </w:p>
        </w:tc>
      </w:tr>
      <w:tr w:rsidR="00141954" w:rsidTr="00BB136E">
        <w:trPr>
          <w:trHeight w:val="1132"/>
          <w:jc w:val="center"/>
        </w:trPr>
        <w:tc>
          <w:tcPr>
            <w:tcW w:w="1116" w:type="dxa"/>
            <w:vAlign w:val="center"/>
          </w:tcPr>
          <w:p w:rsidR="00141954" w:rsidRDefault="00141954" w:rsidP="001419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現状</w:t>
            </w:r>
          </w:p>
        </w:tc>
        <w:tc>
          <w:tcPr>
            <w:tcW w:w="5059" w:type="dxa"/>
            <w:vAlign w:val="center"/>
          </w:tcPr>
          <w:p w:rsidR="009D33C6" w:rsidRDefault="00141954" w:rsidP="002F34D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プラスチック焼却量</w:t>
            </w:r>
            <w:r w:rsidRPr="00B85589">
              <w:rPr>
                <w:rFonts w:asciiTheme="minorEastAsia" w:hAnsiTheme="minorEastAsia" w:hint="eastAsia"/>
                <w:sz w:val="24"/>
                <w:vertAlign w:val="superscript"/>
              </w:rPr>
              <w:t>※１</w:t>
            </w:r>
            <w:r w:rsidR="009D33C6">
              <w:rPr>
                <w:rFonts w:asciiTheme="minorEastAsia" w:hAnsiTheme="minorEastAsia" w:hint="eastAsia"/>
                <w:sz w:val="24"/>
              </w:rPr>
              <w:t>【</w:t>
            </w:r>
            <w:r w:rsidR="002F34D8">
              <w:rPr>
                <w:rFonts w:asciiTheme="minorEastAsia" w:hAnsiTheme="minorEastAsia" w:hint="eastAsia"/>
                <w:sz w:val="24"/>
              </w:rPr>
              <w:t>約50</w:t>
            </w:r>
            <w:r w:rsidR="009D33C6">
              <w:rPr>
                <w:rFonts w:asciiTheme="minorEastAsia" w:hAnsiTheme="minorEastAsia" w:hint="eastAsia"/>
                <w:sz w:val="24"/>
              </w:rPr>
              <w:t>万ｔ】</w:t>
            </w:r>
          </w:p>
          <w:p w:rsidR="00141954" w:rsidRDefault="00141954" w:rsidP="009D33C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＋</w:t>
            </w:r>
          </w:p>
          <w:p w:rsidR="009D33C6" w:rsidRPr="002F34D8" w:rsidRDefault="00141954" w:rsidP="002F34D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vertAlign w:val="superscript"/>
              </w:rPr>
            </w:pPr>
            <w:r>
              <w:rPr>
                <w:rFonts w:asciiTheme="minorEastAsia" w:hAnsiTheme="minorEastAsia" w:hint="eastAsia"/>
                <w:sz w:val="24"/>
              </w:rPr>
              <w:t>合成繊維くず焼却量</w:t>
            </w:r>
            <w:r w:rsidRPr="00B85589">
              <w:rPr>
                <w:rFonts w:asciiTheme="minorEastAsia" w:hAnsiTheme="minorEastAsia" w:hint="eastAsia"/>
                <w:sz w:val="24"/>
                <w:vertAlign w:val="superscript"/>
              </w:rPr>
              <w:t>※２</w:t>
            </w:r>
            <w:r w:rsidR="009D33C6">
              <w:rPr>
                <w:rFonts w:asciiTheme="minorEastAsia" w:hAnsiTheme="minorEastAsia" w:hint="eastAsia"/>
                <w:sz w:val="24"/>
              </w:rPr>
              <w:t>【</w:t>
            </w:r>
            <w:r w:rsidR="002F34D8">
              <w:rPr>
                <w:rFonts w:asciiTheme="minorEastAsia" w:hAnsiTheme="minorEastAsia" w:hint="eastAsia"/>
                <w:sz w:val="24"/>
              </w:rPr>
              <w:t>約10</w:t>
            </w:r>
            <w:r w:rsidR="009D33C6">
              <w:rPr>
                <w:rFonts w:asciiTheme="minorEastAsia" w:hAnsiTheme="minorEastAsia" w:hint="eastAsia"/>
                <w:sz w:val="24"/>
              </w:rPr>
              <w:t>万ｔ】</w:t>
            </w:r>
          </w:p>
        </w:tc>
        <w:tc>
          <w:tcPr>
            <w:tcW w:w="1926" w:type="dxa"/>
            <w:vAlign w:val="center"/>
          </w:tcPr>
          <w:p w:rsidR="00141954" w:rsidRDefault="009D33C6" w:rsidP="009D33C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約</w:t>
            </w:r>
            <w:r w:rsidR="00141954">
              <w:rPr>
                <w:rFonts w:asciiTheme="minorEastAsia" w:hAnsiTheme="minorEastAsia" w:hint="eastAsia"/>
                <w:sz w:val="24"/>
              </w:rPr>
              <w:t>60万t</w:t>
            </w:r>
          </w:p>
        </w:tc>
      </w:tr>
      <w:tr w:rsidR="00141954" w:rsidTr="00BB136E">
        <w:trPr>
          <w:trHeight w:val="1120"/>
          <w:jc w:val="center"/>
        </w:trPr>
        <w:tc>
          <w:tcPr>
            <w:tcW w:w="1116" w:type="dxa"/>
            <w:vAlign w:val="center"/>
          </w:tcPr>
          <w:p w:rsidR="00141954" w:rsidRDefault="00141954" w:rsidP="001419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</w:t>
            </w:r>
            <w:r w:rsidR="002F34D8">
              <w:rPr>
                <w:rFonts w:asciiTheme="minorEastAsia" w:hAnsiTheme="minorEastAsia" w:hint="eastAsia"/>
                <w:sz w:val="24"/>
              </w:rPr>
              <w:t>案</w:t>
            </w:r>
          </w:p>
        </w:tc>
        <w:tc>
          <w:tcPr>
            <w:tcW w:w="5059" w:type="dxa"/>
            <w:vAlign w:val="center"/>
          </w:tcPr>
          <w:p w:rsidR="009D33C6" w:rsidRDefault="00141954" w:rsidP="002F34D8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生活系混入プラスチック量</w:t>
            </w:r>
            <w:r w:rsidRPr="00B85589">
              <w:rPr>
                <w:rFonts w:asciiTheme="minorEastAsia" w:hAnsiTheme="minorEastAsia" w:hint="eastAsia"/>
                <w:sz w:val="24"/>
                <w:vertAlign w:val="superscript"/>
              </w:rPr>
              <w:t>※３</w:t>
            </w:r>
            <w:r w:rsidR="009D33C6">
              <w:rPr>
                <w:rFonts w:asciiTheme="minorEastAsia" w:hAnsiTheme="minorEastAsia" w:hint="eastAsia"/>
                <w:sz w:val="24"/>
              </w:rPr>
              <w:t>【</w:t>
            </w:r>
            <w:r w:rsidR="002F34D8">
              <w:rPr>
                <w:rFonts w:asciiTheme="minorEastAsia" w:hAnsiTheme="minorEastAsia" w:hint="eastAsia"/>
                <w:sz w:val="24"/>
              </w:rPr>
              <w:t>約11</w:t>
            </w:r>
            <w:r w:rsidR="009D33C6">
              <w:rPr>
                <w:rFonts w:asciiTheme="minorEastAsia" w:hAnsiTheme="minorEastAsia" w:hint="eastAsia"/>
                <w:sz w:val="24"/>
              </w:rPr>
              <w:t>万t】</w:t>
            </w:r>
          </w:p>
          <w:p w:rsidR="00141954" w:rsidRDefault="00141954" w:rsidP="009D33C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＋</w:t>
            </w:r>
          </w:p>
          <w:p w:rsidR="009D33C6" w:rsidRPr="002F34D8" w:rsidRDefault="00141954" w:rsidP="002F34D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vertAlign w:val="superscript"/>
              </w:rPr>
            </w:pPr>
            <w:r>
              <w:rPr>
                <w:rFonts w:asciiTheme="minorEastAsia" w:hAnsiTheme="minorEastAsia" w:hint="eastAsia"/>
                <w:sz w:val="24"/>
              </w:rPr>
              <w:t>事業系混入プラスチック量</w:t>
            </w:r>
            <w:r w:rsidR="00CB3851" w:rsidRPr="00B85589">
              <w:rPr>
                <w:rFonts w:asciiTheme="minorEastAsia" w:hAnsiTheme="minorEastAsia" w:hint="eastAsia"/>
                <w:sz w:val="24"/>
                <w:vertAlign w:val="superscript"/>
              </w:rPr>
              <w:t>※４</w:t>
            </w:r>
            <w:r w:rsidR="009D33C6">
              <w:rPr>
                <w:rFonts w:asciiTheme="minorEastAsia" w:hAnsiTheme="minorEastAsia" w:hint="eastAsia"/>
                <w:sz w:val="24"/>
              </w:rPr>
              <w:t>【</w:t>
            </w:r>
            <w:r w:rsidR="002F34D8">
              <w:rPr>
                <w:rFonts w:asciiTheme="minorEastAsia" w:hAnsiTheme="minorEastAsia" w:hint="eastAsia"/>
                <w:sz w:val="24"/>
              </w:rPr>
              <w:t>約18</w:t>
            </w:r>
            <w:r w:rsidR="009D33C6">
              <w:rPr>
                <w:rFonts w:asciiTheme="minorEastAsia" w:hAnsiTheme="minorEastAsia" w:hint="eastAsia"/>
                <w:sz w:val="24"/>
              </w:rPr>
              <w:t>万t】</w:t>
            </w:r>
          </w:p>
        </w:tc>
        <w:tc>
          <w:tcPr>
            <w:tcW w:w="1926" w:type="dxa"/>
            <w:vAlign w:val="center"/>
          </w:tcPr>
          <w:p w:rsidR="00141954" w:rsidRPr="00511DC9" w:rsidRDefault="009D33C6" w:rsidP="009D33C6">
            <w:pPr>
              <w:jc w:val="center"/>
              <w:rPr>
                <w:rFonts w:asciiTheme="minorEastAsia" w:hAnsiTheme="minorEastAsia"/>
                <w:sz w:val="24"/>
                <w:u w:val="single"/>
              </w:rPr>
            </w:pPr>
            <w:r w:rsidRPr="00511DC9">
              <w:rPr>
                <w:rFonts w:asciiTheme="minorEastAsia" w:hAnsiTheme="minorEastAsia" w:hint="eastAsia"/>
                <w:sz w:val="24"/>
                <w:u w:val="single"/>
              </w:rPr>
              <w:t>約</w:t>
            </w:r>
            <w:r w:rsidR="00141954" w:rsidRPr="00511DC9">
              <w:rPr>
                <w:rFonts w:asciiTheme="minorEastAsia" w:hAnsiTheme="minorEastAsia" w:hint="eastAsia"/>
                <w:sz w:val="24"/>
                <w:u w:val="single"/>
              </w:rPr>
              <w:t>29万ｔ</w:t>
            </w:r>
          </w:p>
        </w:tc>
      </w:tr>
    </w:tbl>
    <w:p w:rsidR="00141954" w:rsidRPr="00935CAC" w:rsidRDefault="00141954" w:rsidP="00073099">
      <w:pPr>
        <w:spacing w:beforeLines="50" w:before="180" w:line="0" w:lineRule="atLeast"/>
        <w:ind w:leftChars="400" w:left="1040" w:hangingChars="100" w:hanging="200"/>
        <w:jc w:val="left"/>
        <w:rPr>
          <w:rFonts w:asciiTheme="minorEastAsia" w:hAnsiTheme="minorEastAsia"/>
          <w:sz w:val="20"/>
        </w:rPr>
      </w:pPr>
      <w:r w:rsidRPr="00935CAC">
        <w:rPr>
          <w:rFonts w:asciiTheme="minorEastAsia" w:hAnsiTheme="minorEastAsia" w:hint="eastAsia"/>
          <w:sz w:val="20"/>
        </w:rPr>
        <w:t>※１　一般廃棄物焼却量×廃プラスチック比率×固形分率</w:t>
      </w:r>
    </w:p>
    <w:p w:rsidR="00141954" w:rsidRPr="00935CAC" w:rsidRDefault="00141954" w:rsidP="00935CAC">
      <w:pPr>
        <w:spacing w:line="0" w:lineRule="atLeast"/>
        <w:ind w:leftChars="400" w:left="1040" w:hangingChars="100" w:hanging="200"/>
        <w:jc w:val="left"/>
        <w:rPr>
          <w:rFonts w:asciiTheme="minorEastAsia" w:hAnsiTheme="minorEastAsia"/>
          <w:sz w:val="20"/>
        </w:rPr>
      </w:pPr>
      <w:r w:rsidRPr="00935CAC">
        <w:rPr>
          <w:rFonts w:asciiTheme="minorEastAsia" w:hAnsiTheme="minorEastAsia" w:hint="eastAsia"/>
          <w:sz w:val="20"/>
        </w:rPr>
        <w:t>※２　一般廃棄物焼却量×繊維くず比率×合成繊維くず比率×固形分率</w:t>
      </w:r>
    </w:p>
    <w:p w:rsidR="00CB3851" w:rsidRPr="00935CAC" w:rsidRDefault="00141954" w:rsidP="00935CAC">
      <w:pPr>
        <w:spacing w:line="0" w:lineRule="atLeast"/>
        <w:ind w:leftChars="400" w:left="1040" w:hangingChars="100" w:hanging="200"/>
        <w:jc w:val="left"/>
        <w:rPr>
          <w:rFonts w:asciiTheme="minorEastAsia" w:hAnsiTheme="minorEastAsia"/>
          <w:sz w:val="20"/>
        </w:rPr>
      </w:pPr>
      <w:r w:rsidRPr="00935CAC">
        <w:rPr>
          <w:rFonts w:asciiTheme="minorEastAsia" w:hAnsiTheme="minorEastAsia" w:hint="eastAsia"/>
          <w:sz w:val="20"/>
        </w:rPr>
        <w:t xml:space="preserve">※３　</w:t>
      </w:r>
      <w:r w:rsidR="00CB3851" w:rsidRPr="00935CAC">
        <w:rPr>
          <w:rFonts w:asciiTheme="minorEastAsia" w:hAnsiTheme="minorEastAsia" w:hint="eastAsia"/>
          <w:sz w:val="20"/>
        </w:rPr>
        <w:t>生活系ごみ焼却量（分別回収実施市町村）×廃プラスチック比率×固形分率</w:t>
      </w:r>
    </w:p>
    <w:p w:rsidR="00141954" w:rsidRPr="00935CAC" w:rsidRDefault="00CB3851" w:rsidP="00B85589">
      <w:pPr>
        <w:spacing w:line="0" w:lineRule="atLeast"/>
        <w:ind w:left="200" w:hanging="200"/>
        <w:jc w:val="right"/>
        <w:rPr>
          <w:rFonts w:asciiTheme="minorEastAsia" w:hAnsiTheme="minorEastAsia"/>
          <w:sz w:val="20"/>
        </w:rPr>
      </w:pPr>
      <w:r w:rsidRPr="00935CAC">
        <w:rPr>
          <w:rFonts w:asciiTheme="minorEastAsia" w:hAnsiTheme="minorEastAsia" w:hint="eastAsia"/>
          <w:sz w:val="20"/>
        </w:rPr>
        <w:t>＋生活系ごみ焼却量（分別回収未実施市町村）×廃プラスチック比率×固形分率</w:t>
      </w:r>
    </w:p>
    <w:p w:rsidR="00935CAC" w:rsidRPr="00935CAC" w:rsidRDefault="00CB3851" w:rsidP="00935CAC">
      <w:pPr>
        <w:spacing w:line="0" w:lineRule="atLeast"/>
        <w:ind w:leftChars="400" w:left="1040" w:hangingChars="100" w:hanging="200"/>
        <w:jc w:val="left"/>
        <w:rPr>
          <w:rFonts w:asciiTheme="minorEastAsia" w:hAnsiTheme="minorEastAsia"/>
          <w:sz w:val="20"/>
        </w:rPr>
      </w:pPr>
      <w:r w:rsidRPr="00935CAC">
        <w:rPr>
          <w:rFonts w:asciiTheme="minorEastAsia" w:hAnsiTheme="minorEastAsia" w:hint="eastAsia"/>
          <w:sz w:val="20"/>
        </w:rPr>
        <w:t>※４　事業系ごみ焼却量×廃プラスチック比率×固形分率</w:t>
      </w:r>
    </w:p>
    <w:tbl>
      <w:tblPr>
        <w:tblStyle w:val="a3"/>
        <w:tblW w:w="0" w:type="auto"/>
        <w:jc w:val="center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09"/>
      </w:tblGrid>
      <w:tr w:rsidR="00935CAC" w:rsidTr="00FB12BD">
        <w:trPr>
          <w:trHeight w:val="806"/>
          <w:jc w:val="center"/>
        </w:trPr>
        <w:tc>
          <w:tcPr>
            <w:tcW w:w="7009" w:type="dxa"/>
            <w:vAlign w:val="center"/>
          </w:tcPr>
          <w:p w:rsidR="00E91639" w:rsidRDefault="00935CAC" w:rsidP="00935CAC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 w:rsidRPr="003F7B44">
              <w:rPr>
                <w:rFonts w:asciiTheme="minorEastAsia" w:hAnsiTheme="minorEastAsia" w:hint="eastAsia"/>
                <w:sz w:val="18"/>
              </w:rPr>
              <w:t>・一般廃棄物焼却量</w:t>
            </w:r>
            <w:r w:rsidR="00E91639" w:rsidRPr="003F7B44">
              <w:rPr>
                <w:rFonts w:asciiTheme="minorEastAsia" w:hAnsiTheme="minorEastAsia" w:hint="eastAsia"/>
                <w:sz w:val="18"/>
              </w:rPr>
              <w:t>、生活系ごみ焼却量、事業系ごみ焼却量</w:t>
            </w:r>
            <w:r w:rsidRPr="003F7B44">
              <w:rPr>
                <w:rFonts w:asciiTheme="minorEastAsia" w:hAnsiTheme="minorEastAsia" w:hint="eastAsia"/>
                <w:sz w:val="18"/>
              </w:rPr>
              <w:t>：</w:t>
            </w:r>
          </w:p>
          <w:p w:rsidR="00935CAC" w:rsidRDefault="00935CAC" w:rsidP="00E91639">
            <w:pPr>
              <w:spacing w:line="0" w:lineRule="atLeast"/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F05C64">
              <w:rPr>
                <w:rFonts w:asciiTheme="minorEastAsia" w:hAnsiTheme="minorEastAsia" w:hint="eastAsia"/>
                <w:sz w:val="18"/>
              </w:rPr>
              <w:t>平成24年度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634E85">
              <w:rPr>
                <w:rFonts w:asciiTheme="minorEastAsia" w:hAnsiTheme="minorEastAsia" w:hint="eastAsia"/>
                <w:sz w:val="18"/>
              </w:rPr>
              <w:t xml:space="preserve">一般廃棄物処理実態調査結果（環境省　</w:t>
            </w:r>
            <w:r w:rsidRPr="00F05C64">
              <w:rPr>
                <w:rFonts w:asciiTheme="minorEastAsia" w:hAnsiTheme="minorEastAsia" w:hint="eastAsia"/>
                <w:sz w:val="18"/>
              </w:rPr>
              <w:t>2014年３月）</w:t>
            </w:r>
          </w:p>
          <w:p w:rsidR="00935CAC" w:rsidRPr="00E91639" w:rsidRDefault="00935CAC" w:rsidP="006A3220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Pr="00935CAC">
              <w:rPr>
                <w:rFonts w:asciiTheme="minorEastAsia" w:hAnsiTheme="minorEastAsia" w:hint="eastAsia"/>
                <w:sz w:val="18"/>
              </w:rPr>
              <w:t>固形分率:</w:t>
            </w:r>
            <w:r>
              <w:rPr>
                <w:rFonts w:asciiTheme="minorEastAsia" w:hAnsiTheme="minorEastAsia" w:hint="eastAsia"/>
                <w:sz w:val="18"/>
              </w:rPr>
              <w:t xml:space="preserve"> 温室効果ガス排出量算定・報告マニュアル</w:t>
            </w:r>
            <w:r w:rsidR="00634E85">
              <w:rPr>
                <w:rFonts w:asciiTheme="minorEastAsia" w:hAnsiTheme="minorEastAsia" w:hint="eastAsia"/>
                <w:sz w:val="18"/>
              </w:rPr>
              <w:t>（環境省・経済産業省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</w:tbl>
    <w:p w:rsidR="001E2833" w:rsidRDefault="001E2833" w:rsidP="00553E75">
      <w:pPr>
        <w:rPr>
          <w:rFonts w:asciiTheme="minorEastAsia" w:hAnsiTheme="minorEastAsia"/>
          <w:sz w:val="24"/>
          <w:szCs w:val="24"/>
        </w:rPr>
      </w:pPr>
    </w:p>
    <w:p w:rsidR="005D1157" w:rsidRDefault="006364B7" w:rsidP="00553E7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D42F14">
        <w:rPr>
          <w:rFonts w:asciiTheme="minorEastAsia" w:hAnsiTheme="minorEastAsia" w:hint="eastAsia"/>
          <w:sz w:val="24"/>
        </w:rPr>
        <w:t>2020年度</w:t>
      </w:r>
      <w:r w:rsidR="006A3220">
        <w:rPr>
          <w:rFonts w:asciiTheme="minorEastAsia" w:hAnsiTheme="minorEastAsia" w:hint="eastAsia"/>
          <w:sz w:val="24"/>
        </w:rPr>
        <w:t>の</w:t>
      </w:r>
      <w:r w:rsidR="006A3220" w:rsidRPr="006A3220">
        <w:rPr>
          <w:rFonts w:asciiTheme="minorEastAsia" w:hAnsiTheme="minorEastAsia" w:hint="eastAsia"/>
          <w:sz w:val="24"/>
        </w:rPr>
        <w:t>一般廃棄物の廃プラスチックの焼却量</w:t>
      </w:r>
    </w:p>
    <w:p w:rsidR="00714C92" w:rsidRDefault="003A4A4F" w:rsidP="000946D7">
      <w:pPr>
        <w:ind w:leftChars="200" w:left="42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2020年度の一般廃棄物の廃プラスチック焼却量は</w:t>
      </w:r>
      <w:r w:rsidR="00BB136E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表３</w:t>
      </w:r>
      <w:r w:rsidR="00D91073">
        <w:rPr>
          <w:rFonts w:asciiTheme="minorEastAsia" w:hAnsiTheme="minorEastAsia" w:hint="eastAsia"/>
          <w:sz w:val="24"/>
        </w:rPr>
        <w:t>の変更案</w:t>
      </w:r>
      <w:r w:rsidR="00511DC9">
        <w:rPr>
          <w:rFonts w:asciiTheme="minorEastAsia" w:hAnsiTheme="minorEastAsia" w:hint="eastAsia"/>
          <w:sz w:val="24"/>
        </w:rPr>
        <w:t>に示す</w:t>
      </w:r>
      <w:r>
        <w:rPr>
          <w:rFonts w:asciiTheme="minorEastAsia" w:hAnsiTheme="minorEastAsia" w:hint="eastAsia"/>
          <w:sz w:val="24"/>
        </w:rPr>
        <w:t>方法により算出した</w:t>
      </w:r>
      <w:r w:rsidR="00EB0369">
        <w:rPr>
          <w:rFonts w:asciiTheme="minorEastAsia" w:hAnsiTheme="minorEastAsia" w:hint="eastAsia"/>
          <w:sz w:val="24"/>
        </w:rPr>
        <w:t>結果</w:t>
      </w:r>
      <w:r w:rsidR="00EB0369" w:rsidRPr="00BB136E">
        <w:rPr>
          <w:rFonts w:asciiTheme="minorEastAsia" w:hAnsiTheme="minorEastAsia" w:hint="eastAsia"/>
          <w:sz w:val="24"/>
          <w:szCs w:val="24"/>
          <w:u w:val="single"/>
        </w:rPr>
        <w:t>21万ｔ</w:t>
      </w:r>
      <w:r w:rsidR="00EB0369">
        <w:rPr>
          <w:rFonts w:asciiTheme="minorEastAsia" w:hAnsiTheme="minorEastAsia" w:hint="eastAsia"/>
          <w:sz w:val="24"/>
          <w:szCs w:val="24"/>
        </w:rPr>
        <w:t>と推計され</w:t>
      </w:r>
      <w:r w:rsidR="00D91073">
        <w:rPr>
          <w:rFonts w:asciiTheme="minorEastAsia" w:hAnsiTheme="minorEastAsia" w:hint="eastAsia"/>
          <w:sz w:val="24"/>
          <w:szCs w:val="24"/>
        </w:rPr>
        <w:t>、検討後の対策指標は表４に示すとおりとなった</w:t>
      </w:r>
      <w:r>
        <w:rPr>
          <w:rFonts w:asciiTheme="minorEastAsia" w:hAnsiTheme="minorEastAsia" w:hint="eastAsia"/>
          <w:sz w:val="24"/>
        </w:rPr>
        <w:t>。</w:t>
      </w:r>
    </w:p>
    <w:p w:rsidR="00935CAC" w:rsidRDefault="000946D7" w:rsidP="003F7B44">
      <w:pPr>
        <w:ind w:leftChars="200" w:left="42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計算方法は</w:t>
      </w:r>
      <w:r w:rsidR="003C3004">
        <w:rPr>
          <w:rFonts w:asciiTheme="minorEastAsia" w:hAnsiTheme="minorEastAsia" w:hint="eastAsia"/>
          <w:sz w:val="24"/>
        </w:rPr>
        <w:t>、</w:t>
      </w:r>
      <w:r w:rsidR="008C1ABB">
        <w:rPr>
          <w:rFonts w:asciiTheme="minorEastAsia" w:hAnsiTheme="minorEastAsia" w:hint="eastAsia"/>
          <w:sz w:val="24"/>
        </w:rPr>
        <w:t>循環計画に</w:t>
      </w:r>
      <w:r w:rsidR="00072738">
        <w:rPr>
          <w:rFonts w:asciiTheme="minorEastAsia" w:hAnsiTheme="minorEastAsia" w:hint="eastAsia"/>
          <w:sz w:val="24"/>
        </w:rPr>
        <w:t>示され</w:t>
      </w:r>
      <w:r w:rsidR="00714C92">
        <w:rPr>
          <w:rFonts w:asciiTheme="minorEastAsia" w:hAnsiTheme="minorEastAsia" w:hint="eastAsia"/>
          <w:sz w:val="24"/>
        </w:rPr>
        <w:t>る</w:t>
      </w:r>
      <w:r>
        <w:rPr>
          <w:rFonts w:asciiTheme="minorEastAsia" w:hAnsiTheme="minorEastAsia" w:hint="eastAsia"/>
          <w:sz w:val="24"/>
        </w:rPr>
        <w:t>生活系・事業系ごみの排出量（焼却量）の単純推計値</w:t>
      </w:r>
      <w:r w:rsidR="00072738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廃プラスチック比率と</w:t>
      </w:r>
      <w:r w:rsidR="00714C92">
        <w:rPr>
          <w:rFonts w:asciiTheme="minorEastAsia" w:hAnsiTheme="minorEastAsia" w:hint="eastAsia"/>
          <w:sz w:val="24"/>
        </w:rPr>
        <w:t>0.85</w:t>
      </w:r>
      <w:r w:rsidRPr="00066B03">
        <w:rPr>
          <w:rFonts w:asciiTheme="minorEastAsia" w:hAnsiTheme="minorEastAsia" w:hint="eastAsia"/>
          <w:sz w:val="24"/>
          <w:vertAlign w:val="superscript"/>
        </w:rPr>
        <w:t>※</w:t>
      </w:r>
      <w:r w:rsidR="003C3004">
        <w:rPr>
          <w:rFonts w:asciiTheme="minorEastAsia" w:hAnsiTheme="minorEastAsia" w:hint="eastAsia"/>
          <w:sz w:val="24"/>
        </w:rPr>
        <w:t>及び固形分率を</w:t>
      </w:r>
      <w:r>
        <w:rPr>
          <w:rFonts w:asciiTheme="minorEastAsia" w:hAnsiTheme="minorEastAsia" w:hint="eastAsia"/>
          <w:sz w:val="24"/>
        </w:rPr>
        <w:t>乗じ</w:t>
      </w:r>
      <w:r w:rsidR="003C3004">
        <w:rPr>
          <w:rFonts w:asciiTheme="minorEastAsia" w:hAnsiTheme="minorEastAsia" w:hint="eastAsia"/>
          <w:sz w:val="24"/>
        </w:rPr>
        <w:t>ており</w:t>
      </w:r>
      <w:r>
        <w:rPr>
          <w:rFonts w:asciiTheme="minorEastAsia" w:hAnsiTheme="minorEastAsia" w:hint="eastAsia"/>
          <w:sz w:val="24"/>
        </w:rPr>
        <w:t>、</w:t>
      </w:r>
      <w:r w:rsidR="00935CAC">
        <w:rPr>
          <w:rFonts w:asciiTheme="minorEastAsia" w:hAnsiTheme="minorEastAsia" w:hint="eastAsia"/>
          <w:sz w:val="24"/>
        </w:rPr>
        <w:t>廃プラスチック比率</w:t>
      </w:r>
      <w:r w:rsidR="006A3220">
        <w:rPr>
          <w:rFonts w:asciiTheme="minorEastAsia" w:hAnsiTheme="minorEastAsia" w:hint="eastAsia"/>
          <w:sz w:val="24"/>
        </w:rPr>
        <w:t>、固形分率</w:t>
      </w:r>
      <w:r w:rsidR="00D42F14">
        <w:rPr>
          <w:rFonts w:asciiTheme="minorEastAsia" w:hAnsiTheme="minorEastAsia" w:hint="eastAsia"/>
          <w:sz w:val="24"/>
        </w:rPr>
        <w:t>や分別回収実施市町村数など</w:t>
      </w:r>
      <w:r w:rsidR="00D91073">
        <w:rPr>
          <w:rFonts w:asciiTheme="minorEastAsia" w:hAnsiTheme="minorEastAsia" w:hint="eastAsia"/>
          <w:sz w:val="24"/>
        </w:rPr>
        <w:t>の条件</w:t>
      </w:r>
      <w:r w:rsidR="00935CAC">
        <w:rPr>
          <w:rFonts w:asciiTheme="minorEastAsia" w:hAnsiTheme="minorEastAsia" w:hint="eastAsia"/>
          <w:sz w:val="24"/>
        </w:rPr>
        <w:t>は2012年度と</w:t>
      </w:r>
      <w:r w:rsidR="008A5C98">
        <w:rPr>
          <w:rFonts w:asciiTheme="minorEastAsia" w:hAnsiTheme="minorEastAsia" w:hint="eastAsia"/>
          <w:sz w:val="24"/>
        </w:rPr>
        <w:t>同じとしている</w:t>
      </w:r>
      <w:r w:rsidR="00935CAC">
        <w:rPr>
          <w:rFonts w:asciiTheme="minorEastAsia" w:hAnsiTheme="minorEastAsia" w:hint="eastAsia"/>
          <w:sz w:val="24"/>
        </w:rPr>
        <w:t>。</w:t>
      </w:r>
    </w:p>
    <w:p w:rsidR="000946D7" w:rsidRDefault="000946D7" w:rsidP="00066B03">
      <w:pPr>
        <w:rPr>
          <w:rFonts w:asciiTheme="minorEastAsia" w:hAnsiTheme="minorEastAsia"/>
          <w:sz w:val="24"/>
        </w:rPr>
      </w:pPr>
    </w:p>
    <w:p w:rsidR="00D42F14" w:rsidRDefault="000946D7" w:rsidP="00066B03">
      <w:pPr>
        <w:spacing w:line="0" w:lineRule="atLeast"/>
        <w:ind w:leftChars="100" w:left="525" w:hangingChars="150" w:hanging="315"/>
        <w:rPr>
          <w:rFonts w:asciiTheme="minorEastAsia" w:hAnsiTheme="minorEastAsia"/>
          <w:sz w:val="24"/>
        </w:rPr>
      </w:pPr>
      <w:r w:rsidRPr="00066B03">
        <w:rPr>
          <w:rFonts w:asciiTheme="minorEastAsia" w:hAnsiTheme="minorEastAsia" w:hint="eastAsia"/>
        </w:rPr>
        <w:t>※</w:t>
      </w:r>
      <w:r w:rsidRPr="00066B03">
        <w:rPr>
          <w:rFonts w:asciiTheme="minorEastAsia" w:hAnsiTheme="minorEastAsia"/>
        </w:rPr>
        <w:t xml:space="preserve"> </w:t>
      </w:r>
      <w:r w:rsidRPr="00066B03">
        <w:rPr>
          <w:rFonts w:asciiTheme="minorEastAsia" w:hAnsiTheme="minorEastAsia" w:hint="eastAsia"/>
        </w:rPr>
        <w:t>循環計画の「目標設定の考え方」で示される「燃えるごみに含まれるプラスチックごみを</w:t>
      </w:r>
      <w:r w:rsidRPr="00066B03">
        <w:rPr>
          <w:rFonts w:asciiTheme="minorEastAsia" w:hAnsiTheme="minorEastAsia"/>
        </w:rPr>
        <w:t>15％削減（生活系・事業系）</w:t>
      </w:r>
      <w:r w:rsidRPr="00066B03">
        <w:rPr>
          <w:rFonts w:asciiTheme="minorEastAsia" w:hAnsiTheme="minorEastAsia" w:hint="eastAsia"/>
        </w:rPr>
        <w:t>」を考慮</w:t>
      </w:r>
    </w:p>
    <w:p w:rsidR="006F0A41" w:rsidRPr="000946D7" w:rsidRDefault="006F0A41" w:rsidP="00D42F14">
      <w:pPr>
        <w:jc w:val="center"/>
        <w:rPr>
          <w:rFonts w:asciiTheme="minorEastAsia" w:hAnsiTheme="minorEastAsia"/>
          <w:sz w:val="24"/>
        </w:rPr>
      </w:pPr>
    </w:p>
    <w:p w:rsidR="00AB251E" w:rsidRPr="005E49C7" w:rsidRDefault="00CD721E" w:rsidP="00D42F14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表</w:t>
      </w:r>
      <w:r w:rsidR="00935CAC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 xml:space="preserve">　検討後</w:t>
      </w:r>
      <w:r w:rsidR="00AB251E">
        <w:rPr>
          <w:rFonts w:asciiTheme="minorEastAsia" w:hAnsiTheme="minorEastAsia" w:hint="eastAsia"/>
          <w:sz w:val="24"/>
        </w:rPr>
        <w:t>の対策指標</w:t>
      </w:r>
    </w:p>
    <w:tbl>
      <w:tblPr>
        <w:tblStyle w:val="a3"/>
        <w:tblW w:w="8839" w:type="dxa"/>
        <w:jc w:val="center"/>
        <w:tblLook w:val="04A0" w:firstRow="1" w:lastRow="0" w:firstColumn="1" w:lastColumn="0" w:noHBand="0" w:noVBand="1"/>
      </w:tblPr>
      <w:tblGrid>
        <w:gridCol w:w="1236"/>
        <w:gridCol w:w="4596"/>
        <w:gridCol w:w="1082"/>
        <w:gridCol w:w="962"/>
        <w:gridCol w:w="963"/>
      </w:tblGrid>
      <w:tr w:rsidR="00AB251E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 w:hint="eastAsia"/>
              </w:rPr>
              <w:t>部門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 w:hint="eastAsia"/>
              </w:rPr>
              <w:t>指標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/>
              </w:rPr>
              <w:t>2012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E49C7">
              <w:rPr>
                <w:rFonts w:asciiTheme="minorEastAsia" w:hAnsiTheme="minorEastAsia"/>
              </w:rPr>
              <w:t>2020</w:t>
            </w:r>
          </w:p>
        </w:tc>
      </w:tr>
      <w:tr w:rsidR="00AB251E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一人当たりのエネルギー消費量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GJ/人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51E" w:rsidRPr="005E49C7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</w:tr>
      <w:tr w:rsidR="00AB251E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床面積あたりのエネルギー消費量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GJ/千㎡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1,032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840</w:t>
            </w:r>
          </w:p>
        </w:tc>
      </w:tr>
      <w:tr w:rsidR="00AB251E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条例対象事業者の温室効果ガス排出量削減率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2012年度比５％減</w:t>
            </w:r>
          </w:p>
        </w:tc>
      </w:tr>
      <w:tr w:rsidR="00AB251E" w:rsidRPr="005E49C7" w:rsidTr="00BB136E">
        <w:trPr>
          <w:trHeight w:val="459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運輸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保有台数に占めるエコカーの割合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</w:p>
        </w:tc>
      </w:tr>
      <w:tr w:rsidR="00BB136E" w:rsidRPr="005E49C7" w:rsidTr="00BB136E">
        <w:trPr>
          <w:trHeight w:val="459"/>
          <w:jc w:val="center"/>
        </w:trPr>
        <w:tc>
          <w:tcPr>
            <w:tcW w:w="1236" w:type="dxa"/>
            <w:shd w:val="pct25" w:color="auto" w:fill="auto"/>
            <w:vAlign w:val="center"/>
          </w:tcPr>
          <w:p w:rsidR="00AB251E" w:rsidRPr="00483E53" w:rsidRDefault="00AB251E" w:rsidP="00483E53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483E53">
              <w:rPr>
                <w:rFonts w:asciiTheme="minorEastAsia" w:hAnsiTheme="minorEastAsia" w:hint="eastAsia"/>
                <w:u w:val="single"/>
              </w:rPr>
              <w:t>廃棄物</w:t>
            </w:r>
          </w:p>
        </w:tc>
        <w:tc>
          <w:tcPr>
            <w:tcW w:w="4596" w:type="dxa"/>
            <w:shd w:val="pct25" w:color="auto" w:fill="auto"/>
            <w:vAlign w:val="center"/>
          </w:tcPr>
          <w:p w:rsidR="00AB251E" w:rsidRPr="00483E53" w:rsidRDefault="00AB251E" w:rsidP="00483E53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483E53">
              <w:rPr>
                <w:rFonts w:asciiTheme="minorEastAsia" w:hAnsiTheme="minorEastAsia" w:hint="eastAsia"/>
                <w:u w:val="single"/>
              </w:rPr>
              <w:t>一般廃棄物の廃プラスチックの焼却量</w:t>
            </w:r>
          </w:p>
        </w:tc>
        <w:tc>
          <w:tcPr>
            <w:tcW w:w="1082" w:type="dxa"/>
            <w:shd w:val="pct25" w:color="auto" w:fill="auto"/>
            <w:vAlign w:val="center"/>
          </w:tcPr>
          <w:p w:rsidR="00AB251E" w:rsidRPr="00483E53" w:rsidRDefault="00AB251E" w:rsidP="00483E53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 w:rsidRPr="00483E53">
              <w:rPr>
                <w:rFonts w:asciiTheme="minorEastAsia" w:hAnsiTheme="minorEastAsia" w:hint="eastAsia"/>
                <w:u w:val="single"/>
              </w:rPr>
              <w:t>万</w:t>
            </w:r>
            <w:r w:rsidRPr="00483E53">
              <w:rPr>
                <w:rFonts w:asciiTheme="minorEastAsia" w:hAnsiTheme="minorEastAsia"/>
                <w:u w:val="single"/>
              </w:rPr>
              <w:t>t</w:t>
            </w:r>
          </w:p>
        </w:tc>
        <w:tc>
          <w:tcPr>
            <w:tcW w:w="962" w:type="dxa"/>
            <w:shd w:val="pct25" w:color="auto" w:fill="auto"/>
            <w:vAlign w:val="center"/>
          </w:tcPr>
          <w:p w:rsidR="00AB251E" w:rsidRPr="00483E53" w:rsidRDefault="00AB251E" w:rsidP="00483E53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29</w:t>
            </w:r>
          </w:p>
        </w:tc>
        <w:tc>
          <w:tcPr>
            <w:tcW w:w="963" w:type="dxa"/>
            <w:shd w:val="pct25" w:color="auto" w:fill="auto"/>
            <w:vAlign w:val="center"/>
          </w:tcPr>
          <w:p w:rsidR="00AB251E" w:rsidRPr="00483E53" w:rsidRDefault="00AB251E" w:rsidP="00AB251E">
            <w:pPr>
              <w:snapToGrid w:val="0"/>
              <w:jc w:val="center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21</w:t>
            </w:r>
          </w:p>
        </w:tc>
      </w:tr>
      <w:tr w:rsidR="00AB251E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再エネ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太陽光発電導入量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万kW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115</w:t>
            </w:r>
          </w:p>
        </w:tc>
      </w:tr>
      <w:tr w:rsidR="00AB251E" w:rsidRPr="005E49C7" w:rsidTr="00B85589">
        <w:trPr>
          <w:trHeight w:val="459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森林吸収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森林経営計画累計面積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251E" w:rsidRDefault="00AB251E" w:rsidP="00483E53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4,000</w:t>
            </w:r>
          </w:p>
        </w:tc>
      </w:tr>
    </w:tbl>
    <w:p w:rsidR="007763EB" w:rsidRPr="005E49C7" w:rsidRDefault="007763EB" w:rsidP="006F0A41">
      <w:pPr>
        <w:tabs>
          <w:tab w:val="left" w:pos="8037"/>
        </w:tabs>
        <w:jc w:val="left"/>
        <w:rPr>
          <w:rFonts w:asciiTheme="minorEastAsia" w:hAnsiTheme="minorEastAsia"/>
          <w:sz w:val="24"/>
          <w:szCs w:val="24"/>
        </w:rPr>
      </w:pPr>
    </w:p>
    <w:sectPr w:rsidR="007763EB" w:rsidRPr="005E49C7" w:rsidSect="003F7B44">
      <w:footerReference w:type="default" r:id="rId8"/>
      <w:pgSz w:w="11906" w:h="16838" w:code="9"/>
      <w:pgMar w:top="1134" w:right="1134" w:bottom="113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96" w:rsidRDefault="00E45596" w:rsidP="00CB38EC">
      <w:r>
        <w:separator/>
      </w:r>
    </w:p>
  </w:endnote>
  <w:endnote w:type="continuationSeparator" w:id="0">
    <w:p w:rsidR="00E45596" w:rsidRDefault="00E45596" w:rsidP="00C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2048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F6894" w:rsidRDefault="00CF6894" w:rsidP="00FB12BD">
        <w:pPr>
          <w:pStyle w:val="a9"/>
          <w:jc w:val="center"/>
        </w:pPr>
        <w:r w:rsidRPr="00CF6894">
          <w:rPr>
            <w:sz w:val="24"/>
          </w:rPr>
          <w:fldChar w:fldCharType="begin"/>
        </w:r>
        <w:r w:rsidRPr="00CF6894">
          <w:rPr>
            <w:sz w:val="24"/>
          </w:rPr>
          <w:instrText>PAGE   \* MERGEFORMAT</w:instrText>
        </w:r>
        <w:r w:rsidRPr="00CF6894">
          <w:rPr>
            <w:sz w:val="24"/>
          </w:rPr>
          <w:fldChar w:fldCharType="separate"/>
        </w:r>
        <w:r w:rsidR="00BB5052" w:rsidRPr="00BB5052">
          <w:rPr>
            <w:noProof/>
            <w:sz w:val="24"/>
            <w:lang w:val="ja-JP"/>
          </w:rPr>
          <w:t>1</w:t>
        </w:r>
        <w:r w:rsidRPr="00CF689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96" w:rsidRDefault="00E45596" w:rsidP="00CB38EC">
      <w:r>
        <w:separator/>
      </w:r>
    </w:p>
  </w:footnote>
  <w:footnote w:type="continuationSeparator" w:id="0">
    <w:p w:rsidR="00E45596" w:rsidRDefault="00E45596" w:rsidP="00CB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D"/>
    <w:rsid w:val="00015A8A"/>
    <w:rsid w:val="0004172E"/>
    <w:rsid w:val="00047502"/>
    <w:rsid w:val="00066B03"/>
    <w:rsid w:val="00072738"/>
    <w:rsid w:val="00073099"/>
    <w:rsid w:val="000871C6"/>
    <w:rsid w:val="00090E70"/>
    <w:rsid w:val="00093CBE"/>
    <w:rsid w:val="000946D7"/>
    <w:rsid w:val="000A69E3"/>
    <w:rsid w:val="000D75FB"/>
    <w:rsid w:val="000E1889"/>
    <w:rsid w:val="000E5BE1"/>
    <w:rsid w:val="001116DB"/>
    <w:rsid w:val="00122A40"/>
    <w:rsid w:val="0013411A"/>
    <w:rsid w:val="00141954"/>
    <w:rsid w:val="001652A7"/>
    <w:rsid w:val="0019668C"/>
    <w:rsid w:val="00197540"/>
    <w:rsid w:val="001B3FE3"/>
    <w:rsid w:val="001C1B41"/>
    <w:rsid w:val="001E20EC"/>
    <w:rsid w:val="001E23C5"/>
    <w:rsid w:val="001E2833"/>
    <w:rsid w:val="001F65AB"/>
    <w:rsid w:val="00210CFC"/>
    <w:rsid w:val="00226951"/>
    <w:rsid w:val="002446CD"/>
    <w:rsid w:val="00251BF5"/>
    <w:rsid w:val="00282032"/>
    <w:rsid w:val="0029734F"/>
    <w:rsid w:val="002A76BF"/>
    <w:rsid w:val="002E6D7E"/>
    <w:rsid w:val="002F0F83"/>
    <w:rsid w:val="002F34D8"/>
    <w:rsid w:val="002F7714"/>
    <w:rsid w:val="0031331E"/>
    <w:rsid w:val="003168CC"/>
    <w:rsid w:val="003214C5"/>
    <w:rsid w:val="00335F2B"/>
    <w:rsid w:val="00337D79"/>
    <w:rsid w:val="00343582"/>
    <w:rsid w:val="00351673"/>
    <w:rsid w:val="00362753"/>
    <w:rsid w:val="00373AED"/>
    <w:rsid w:val="00374063"/>
    <w:rsid w:val="00374D8F"/>
    <w:rsid w:val="0038367A"/>
    <w:rsid w:val="003901DE"/>
    <w:rsid w:val="003A1B3C"/>
    <w:rsid w:val="003A4A4F"/>
    <w:rsid w:val="003C2B4C"/>
    <w:rsid w:val="003C3004"/>
    <w:rsid w:val="003D5D8D"/>
    <w:rsid w:val="003E0BE8"/>
    <w:rsid w:val="003E53A0"/>
    <w:rsid w:val="003F7B44"/>
    <w:rsid w:val="00401EE8"/>
    <w:rsid w:val="00411C5D"/>
    <w:rsid w:val="0041761C"/>
    <w:rsid w:val="00420DC6"/>
    <w:rsid w:val="00425B2D"/>
    <w:rsid w:val="00460911"/>
    <w:rsid w:val="004719D8"/>
    <w:rsid w:val="00481C34"/>
    <w:rsid w:val="004B6B15"/>
    <w:rsid w:val="004C175B"/>
    <w:rsid w:val="00511DC9"/>
    <w:rsid w:val="00516508"/>
    <w:rsid w:val="00553E75"/>
    <w:rsid w:val="00567C55"/>
    <w:rsid w:val="0059210E"/>
    <w:rsid w:val="005D1157"/>
    <w:rsid w:val="005D3076"/>
    <w:rsid w:val="005E3578"/>
    <w:rsid w:val="005E49C7"/>
    <w:rsid w:val="006230E3"/>
    <w:rsid w:val="00634E85"/>
    <w:rsid w:val="006364B7"/>
    <w:rsid w:val="006460CE"/>
    <w:rsid w:val="0066500F"/>
    <w:rsid w:val="00670162"/>
    <w:rsid w:val="006816A7"/>
    <w:rsid w:val="006819FA"/>
    <w:rsid w:val="006A004B"/>
    <w:rsid w:val="006A3220"/>
    <w:rsid w:val="006D0327"/>
    <w:rsid w:val="006D44B6"/>
    <w:rsid w:val="006F0A41"/>
    <w:rsid w:val="0070150C"/>
    <w:rsid w:val="007038FA"/>
    <w:rsid w:val="00710948"/>
    <w:rsid w:val="00714C92"/>
    <w:rsid w:val="00733873"/>
    <w:rsid w:val="0074529B"/>
    <w:rsid w:val="0076209F"/>
    <w:rsid w:val="007763EB"/>
    <w:rsid w:val="00790A9B"/>
    <w:rsid w:val="007C6EAD"/>
    <w:rsid w:val="0081769A"/>
    <w:rsid w:val="00825DEB"/>
    <w:rsid w:val="00832B60"/>
    <w:rsid w:val="00890462"/>
    <w:rsid w:val="00895747"/>
    <w:rsid w:val="008A5C98"/>
    <w:rsid w:val="008B770D"/>
    <w:rsid w:val="008C1ABB"/>
    <w:rsid w:val="008F0D82"/>
    <w:rsid w:val="008F75FA"/>
    <w:rsid w:val="00912E19"/>
    <w:rsid w:val="00930D4B"/>
    <w:rsid w:val="00935CAC"/>
    <w:rsid w:val="00947F81"/>
    <w:rsid w:val="0096726D"/>
    <w:rsid w:val="0099311D"/>
    <w:rsid w:val="009A5C1E"/>
    <w:rsid w:val="009C3B10"/>
    <w:rsid w:val="009D33C6"/>
    <w:rsid w:val="009D59BB"/>
    <w:rsid w:val="009D5E58"/>
    <w:rsid w:val="009E4510"/>
    <w:rsid w:val="009F4145"/>
    <w:rsid w:val="00A2447D"/>
    <w:rsid w:val="00A60E7C"/>
    <w:rsid w:val="00A80D9F"/>
    <w:rsid w:val="00A901FC"/>
    <w:rsid w:val="00A93037"/>
    <w:rsid w:val="00A96082"/>
    <w:rsid w:val="00AB251E"/>
    <w:rsid w:val="00AF0452"/>
    <w:rsid w:val="00B22D16"/>
    <w:rsid w:val="00B64402"/>
    <w:rsid w:val="00B652BE"/>
    <w:rsid w:val="00B743FB"/>
    <w:rsid w:val="00B813EF"/>
    <w:rsid w:val="00B826D9"/>
    <w:rsid w:val="00B82B5B"/>
    <w:rsid w:val="00B85589"/>
    <w:rsid w:val="00B917C8"/>
    <w:rsid w:val="00BB136E"/>
    <w:rsid w:val="00BB5052"/>
    <w:rsid w:val="00BC6110"/>
    <w:rsid w:val="00BD4384"/>
    <w:rsid w:val="00BE0582"/>
    <w:rsid w:val="00C03CBC"/>
    <w:rsid w:val="00C33D0F"/>
    <w:rsid w:val="00C50C88"/>
    <w:rsid w:val="00C70135"/>
    <w:rsid w:val="00C813B3"/>
    <w:rsid w:val="00CB1164"/>
    <w:rsid w:val="00CB3851"/>
    <w:rsid w:val="00CB38EC"/>
    <w:rsid w:val="00CD721E"/>
    <w:rsid w:val="00CE5398"/>
    <w:rsid w:val="00CF4F7E"/>
    <w:rsid w:val="00CF6894"/>
    <w:rsid w:val="00CF7E79"/>
    <w:rsid w:val="00D1445A"/>
    <w:rsid w:val="00D42F14"/>
    <w:rsid w:val="00D91073"/>
    <w:rsid w:val="00D94DE0"/>
    <w:rsid w:val="00DC632E"/>
    <w:rsid w:val="00DE3254"/>
    <w:rsid w:val="00DE3F14"/>
    <w:rsid w:val="00DE6661"/>
    <w:rsid w:val="00DF00B8"/>
    <w:rsid w:val="00DF3C09"/>
    <w:rsid w:val="00E05968"/>
    <w:rsid w:val="00E13407"/>
    <w:rsid w:val="00E36F97"/>
    <w:rsid w:val="00E45596"/>
    <w:rsid w:val="00E5031B"/>
    <w:rsid w:val="00E53FCF"/>
    <w:rsid w:val="00E5633A"/>
    <w:rsid w:val="00E568D0"/>
    <w:rsid w:val="00E60B0E"/>
    <w:rsid w:val="00E63D12"/>
    <w:rsid w:val="00E91639"/>
    <w:rsid w:val="00EB0369"/>
    <w:rsid w:val="00EB16D1"/>
    <w:rsid w:val="00EC54EF"/>
    <w:rsid w:val="00EF4EAD"/>
    <w:rsid w:val="00F05C64"/>
    <w:rsid w:val="00F0700A"/>
    <w:rsid w:val="00F11B61"/>
    <w:rsid w:val="00F17D2C"/>
    <w:rsid w:val="00F24287"/>
    <w:rsid w:val="00F27A2B"/>
    <w:rsid w:val="00F31797"/>
    <w:rsid w:val="00F63A95"/>
    <w:rsid w:val="00F72B33"/>
    <w:rsid w:val="00F741C2"/>
    <w:rsid w:val="00FA0280"/>
    <w:rsid w:val="00FA3DBC"/>
    <w:rsid w:val="00FB12BD"/>
    <w:rsid w:val="00FD07DB"/>
    <w:rsid w:val="00FD3872"/>
    <w:rsid w:val="00FD7BCF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3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553E75"/>
  </w:style>
  <w:style w:type="paragraph" w:styleId="a7">
    <w:name w:val="header"/>
    <w:basedOn w:val="a"/>
    <w:link w:val="a8"/>
    <w:uiPriority w:val="99"/>
    <w:unhideWhenUsed/>
    <w:rsid w:val="00CB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8EC"/>
  </w:style>
  <w:style w:type="paragraph" w:styleId="a9">
    <w:name w:val="footer"/>
    <w:basedOn w:val="a"/>
    <w:link w:val="aa"/>
    <w:uiPriority w:val="99"/>
    <w:unhideWhenUsed/>
    <w:rsid w:val="00CB3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8EC"/>
  </w:style>
  <w:style w:type="character" w:styleId="ab">
    <w:name w:val="annotation reference"/>
    <w:basedOn w:val="a0"/>
    <w:uiPriority w:val="99"/>
    <w:semiHidden/>
    <w:unhideWhenUsed/>
    <w:rsid w:val="00F72B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72B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3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553E75"/>
  </w:style>
  <w:style w:type="paragraph" w:styleId="a7">
    <w:name w:val="header"/>
    <w:basedOn w:val="a"/>
    <w:link w:val="a8"/>
    <w:uiPriority w:val="99"/>
    <w:unhideWhenUsed/>
    <w:rsid w:val="00CB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8EC"/>
  </w:style>
  <w:style w:type="paragraph" w:styleId="a9">
    <w:name w:val="footer"/>
    <w:basedOn w:val="a"/>
    <w:link w:val="aa"/>
    <w:uiPriority w:val="99"/>
    <w:unhideWhenUsed/>
    <w:rsid w:val="00CB3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8EC"/>
  </w:style>
  <w:style w:type="character" w:styleId="ab">
    <w:name w:val="annotation reference"/>
    <w:basedOn w:val="a0"/>
    <w:uiPriority w:val="99"/>
    <w:semiHidden/>
    <w:unhideWhenUsed/>
    <w:rsid w:val="00F72B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72B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CD68-AA25-4D90-8102-0A7D109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南　祐子</cp:lastModifiedBy>
  <cp:revision>7</cp:revision>
  <cp:lastPrinted>2017-04-14T07:00:00Z</cp:lastPrinted>
  <dcterms:created xsi:type="dcterms:W3CDTF">2017-04-14T08:19:00Z</dcterms:created>
  <dcterms:modified xsi:type="dcterms:W3CDTF">2017-04-18T23:22:00Z</dcterms:modified>
</cp:coreProperties>
</file>