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BA" w:rsidRDefault="00EF6097" w:rsidP="001E1BB2">
      <w:pPr>
        <w:pStyle w:val="1"/>
        <w:jc w:val="center"/>
        <w:rPr>
          <w:b/>
        </w:rPr>
      </w:pPr>
      <w:r w:rsidRPr="00FC02C6">
        <w:rPr>
          <w:noProof/>
          <w:spacing w:val="17"/>
          <w:kern w:val="0"/>
        </w:rPr>
        <mc:AlternateContent>
          <mc:Choice Requires="wps">
            <w:drawing>
              <wp:anchor distT="0" distB="0" distL="114300" distR="114300" simplePos="0" relativeHeight="251672576" behindDoc="0" locked="0" layoutInCell="1" allowOverlap="1" wp14:anchorId="01D9227C" wp14:editId="020CA4A0">
                <wp:simplePos x="0" y="0"/>
                <wp:positionH relativeFrom="column">
                  <wp:posOffset>5003283</wp:posOffset>
                </wp:positionH>
                <wp:positionV relativeFrom="paragraph">
                  <wp:posOffset>-480695</wp:posOffset>
                </wp:positionV>
                <wp:extent cx="942975" cy="427355"/>
                <wp:effectExtent l="0" t="0" r="28575" b="10795"/>
                <wp:wrapNone/>
                <wp:docPr id="6" name="テキスト ボックス 5"/>
                <wp:cNvGraphicFramePr/>
                <a:graphic xmlns:a="http://schemas.openxmlformats.org/drawingml/2006/main">
                  <a:graphicData uri="http://schemas.microsoft.com/office/word/2010/wordprocessingShape">
                    <wps:wsp>
                      <wps:cNvSpPr txBox="1"/>
                      <wps:spPr>
                        <a:xfrm>
                          <a:off x="0" y="0"/>
                          <a:ext cx="942975" cy="427355"/>
                        </a:xfrm>
                        <a:prstGeom prst="rect">
                          <a:avLst/>
                        </a:prstGeom>
                        <a:noFill/>
                        <a:ln w="12700">
                          <a:solidFill>
                            <a:schemeClr val="tx1"/>
                          </a:solidFill>
                        </a:ln>
                      </wps:spPr>
                      <wps:txbx>
                        <w:txbxContent>
                          <w:p w:rsidR="00124B9A" w:rsidRPr="00FC02C6" w:rsidRDefault="00CF3F4F" w:rsidP="002C38B9">
                            <w:pPr>
                              <w:pStyle w:val="Web"/>
                              <w:spacing w:before="0" w:beforeAutospacing="0" w:after="0" w:afterAutospacing="0" w:line="440" w:lineRule="exact"/>
                              <w:jc w:val="center"/>
                              <w:textAlignment w:val="baseline"/>
                              <w:rPr>
                                <w:sz w:val="21"/>
                              </w:rPr>
                            </w:pPr>
                            <w:r>
                              <w:rPr>
                                <w:rFonts w:ascii="Arial" w:cstheme="minorBidi" w:hint="eastAsia"/>
                                <w:color w:val="000000" w:themeColor="text1"/>
                                <w:kern w:val="24"/>
                                <w:sz w:val="28"/>
                                <w:szCs w:val="36"/>
                              </w:rPr>
                              <w:t>資料３</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93.95pt;margin-top:-37.85pt;width:74.25pt;height: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" filled="f" strokecolor="black [3213]" strokeweight="1pt">
                <v:textbox>
                  <w:txbxContent>
                    <w:p w:rsidR="00124B9A" w:rsidRPr="00FC02C6" w:rsidRDefault="00CF3F4F" w:rsidP="002C38B9">
                      <w:pPr>
                        <w:pStyle w:val="Web"/>
                        <w:spacing w:before="0" w:beforeAutospacing="0" w:after="0" w:afterAutospacing="0" w:line="440" w:lineRule="exact"/>
                        <w:jc w:val="center"/>
                        <w:textAlignment w:val="baseline"/>
                        <w:rPr>
                          <w:sz w:val="21"/>
                        </w:rPr>
                      </w:pPr>
                      <w:r>
                        <w:rPr>
                          <w:rFonts w:ascii="Arial" w:cstheme="minorBidi" w:hint="eastAsia"/>
                          <w:color w:val="000000" w:themeColor="text1"/>
                          <w:kern w:val="24"/>
                          <w:sz w:val="28"/>
                          <w:szCs w:val="36"/>
                        </w:rPr>
                        <w:t>資料３</w:t>
                      </w:r>
                    </w:p>
                  </w:txbxContent>
                </v:textbox>
              </v:shape>
            </w:pict>
          </mc:Fallback>
        </mc:AlternateContent>
      </w:r>
      <w:r w:rsidR="00827EC0">
        <w:rPr>
          <w:noProof/>
          <w:spacing w:val="17"/>
          <w:kern w:val="0"/>
        </w:rPr>
        <mc:AlternateContent>
          <mc:Choice Requires="wps">
            <w:drawing>
              <wp:anchor distT="0" distB="0" distL="114300" distR="114300" simplePos="0" relativeHeight="251675648" behindDoc="0" locked="0" layoutInCell="1" allowOverlap="1" wp14:anchorId="356AC206" wp14:editId="5BA2282F">
                <wp:simplePos x="0" y="0"/>
                <wp:positionH relativeFrom="column">
                  <wp:posOffset>-175260</wp:posOffset>
                </wp:positionH>
                <wp:positionV relativeFrom="paragraph">
                  <wp:posOffset>25400</wp:posOffset>
                </wp:positionV>
                <wp:extent cx="180975" cy="161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3.8pt;margin-top:2pt;width:14.2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" fillcolor="white [3212]" strokecolor="white [3212]" strokeweight="2pt"/>
            </w:pict>
          </mc:Fallback>
        </mc:AlternateContent>
      </w:r>
      <w:r w:rsidR="00771E7E">
        <w:rPr>
          <w:rFonts w:hint="eastAsia"/>
          <w:b/>
        </w:rPr>
        <w:t>生活環境保全</w:t>
      </w:r>
      <w:r w:rsidR="00FB2094">
        <w:rPr>
          <w:rFonts w:hint="eastAsia"/>
          <w:b/>
        </w:rPr>
        <w:t>条例に基づく水銀規制のあり方検討について</w:t>
      </w:r>
    </w:p>
    <w:p w:rsidR="00D806F6" w:rsidRPr="00063A46" w:rsidRDefault="00D806F6" w:rsidP="00063A46">
      <w:pPr>
        <w:widowControl/>
        <w:spacing w:beforeLines="30" w:before="108"/>
        <w:jc w:val="left"/>
        <w:rPr>
          <w:rFonts w:asciiTheme="majorEastAsia" w:eastAsiaTheme="majorEastAsia" w:hAnsiTheme="majorEastAsia"/>
          <w:b/>
        </w:rPr>
      </w:pPr>
    </w:p>
    <w:p w:rsidR="00793969" w:rsidRDefault="0056339C" w:rsidP="00793969">
      <w:pPr>
        <w:pStyle w:val="aa"/>
        <w:widowControl/>
        <w:numPr>
          <w:ilvl w:val="0"/>
          <w:numId w:val="14"/>
        </w:numPr>
        <w:ind w:leftChars="0"/>
        <w:jc w:val="left"/>
        <w:rPr>
          <w:rFonts w:asciiTheme="majorEastAsia" w:eastAsiaTheme="majorEastAsia" w:hAnsiTheme="majorEastAsia"/>
          <w:b/>
        </w:rPr>
      </w:pPr>
      <w:r w:rsidRPr="0056339C">
        <w:rPr>
          <w:rFonts w:asciiTheme="majorEastAsia" w:eastAsiaTheme="majorEastAsia" w:hAnsiTheme="majorEastAsia" w:hint="eastAsia"/>
          <w:b/>
        </w:rPr>
        <w:t>法と条例の関係</w:t>
      </w:r>
    </w:p>
    <w:p w:rsidR="006A0049" w:rsidRDefault="001A4635" w:rsidP="006A0049">
      <w:pPr>
        <w:widowControl/>
        <w:ind w:firstLineChars="100" w:firstLine="210"/>
        <w:jc w:val="left"/>
      </w:pPr>
      <w:r>
        <w:rPr>
          <w:rFonts w:hint="eastAsia"/>
        </w:rPr>
        <w:t>条例に基づく水銀規制のあり方を検討するにあたり</w:t>
      </w:r>
      <w:r w:rsidR="006A0049">
        <w:rPr>
          <w:rFonts w:hint="eastAsia"/>
        </w:rPr>
        <w:t>、法の趣旨を</w:t>
      </w:r>
      <w:r>
        <w:rPr>
          <w:rFonts w:hint="eastAsia"/>
        </w:rPr>
        <w:t>踏まえ整合を図る必要があることから、法と条例の関係を整理すると以下に示すとおりである</w:t>
      </w:r>
      <w:r w:rsidR="006A0049">
        <w:rPr>
          <w:rFonts w:hint="eastAsia"/>
        </w:rPr>
        <w:t>。</w:t>
      </w:r>
    </w:p>
    <w:p w:rsidR="0056339C" w:rsidRPr="00793969" w:rsidRDefault="00063A46" w:rsidP="006A0049">
      <w:pPr>
        <w:widowControl/>
        <w:jc w:val="left"/>
        <w:rPr>
          <w:rFonts w:asciiTheme="majorEastAsia" w:eastAsiaTheme="majorEastAsia" w:hAnsiTheme="majorEastAsia"/>
          <w:b/>
        </w:rPr>
      </w:pPr>
      <w:r>
        <w:rPr>
          <w:rFonts w:asciiTheme="majorEastAsia" w:eastAsiaTheme="majorEastAsia" w:hAnsiTheme="majorEastAsia" w:hint="eastAsia"/>
        </w:rPr>
        <w:t>（１）上乗せに関する規定（法第４条）</w:t>
      </w:r>
    </w:p>
    <w:p w:rsidR="0056339C" w:rsidRPr="0056339C" w:rsidRDefault="00063A46" w:rsidP="00762423">
      <w:pPr>
        <w:widowControl/>
        <w:ind w:leftChars="100" w:left="210" w:firstLineChars="100" w:firstLine="206"/>
      </w:pPr>
      <w:r w:rsidRPr="00762423">
        <w:rPr>
          <w:rFonts w:hint="eastAsia"/>
          <w:spacing w:val="-2"/>
        </w:rPr>
        <w:t>法では、「ばいじん」又は「有害物質（カドミウム、塩素・塩化水素、弗素・弗化水素・弗化</w:t>
      </w:r>
      <w:r>
        <w:rPr>
          <w:rFonts w:hint="eastAsia"/>
        </w:rPr>
        <w:t>珪</w:t>
      </w:r>
      <w:r w:rsidRPr="001E1BB2">
        <w:rPr>
          <w:rFonts w:hint="eastAsia"/>
          <w:spacing w:val="-2"/>
        </w:rPr>
        <w:t>素、鉛、窒素化合物）」について、</w:t>
      </w:r>
      <w:r w:rsidR="001E1BB2" w:rsidRPr="001E1BB2">
        <w:rPr>
          <w:rFonts w:hint="eastAsia"/>
          <w:spacing w:val="-2"/>
        </w:rPr>
        <w:t>自然的、社会的条件から判断して法の排出基準では十分でないと認められる区域において</w:t>
      </w:r>
      <w:r w:rsidR="007E1444">
        <w:rPr>
          <w:rFonts w:hint="eastAsia"/>
          <w:spacing w:val="-2"/>
        </w:rPr>
        <w:t>、</w:t>
      </w:r>
      <w:r w:rsidRPr="001E1BB2">
        <w:rPr>
          <w:rFonts w:hint="eastAsia"/>
          <w:spacing w:val="-2"/>
        </w:rPr>
        <w:t>条例で法の排出基準よりも厳しい基準を定めることができる</w:t>
      </w:r>
      <w:r w:rsidR="007E1444">
        <w:rPr>
          <w:rFonts w:hint="eastAsia"/>
          <w:spacing w:val="-2"/>
        </w:rPr>
        <w:t>こととしている</w:t>
      </w:r>
      <w:r>
        <w:rPr>
          <w:rFonts w:hint="eastAsia"/>
        </w:rPr>
        <w:t>が、水銀に関する上乗せ規制は、条文上明示的に容認されていない。</w:t>
      </w:r>
    </w:p>
    <w:p w:rsidR="0056339C" w:rsidRPr="0056339C" w:rsidRDefault="0056339C" w:rsidP="0056339C">
      <w:pPr>
        <w:widowControl/>
        <w:spacing w:line="200" w:lineRule="exact"/>
      </w:pPr>
      <w:r w:rsidRPr="0056339C">
        <w:rPr>
          <w:rFonts w:hint="eastAsia"/>
          <w:noProof/>
          <w:spacing w:val="2"/>
          <w:szCs w:val="18"/>
        </w:rPr>
        <mc:AlternateContent>
          <mc:Choice Requires="wps">
            <w:drawing>
              <wp:anchor distT="0" distB="0" distL="114300" distR="114300" simplePos="0" relativeHeight="251677696" behindDoc="0" locked="0" layoutInCell="1" allowOverlap="1" wp14:anchorId="27AB90B0" wp14:editId="7BDA7A7D">
                <wp:simplePos x="0" y="0"/>
                <wp:positionH relativeFrom="column">
                  <wp:posOffset>35722</wp:posOffset>
                </wp:positionH>
                <wp:positionV relativeFrom="paragraph">
                  <wp:posOffset>72390</wp:posOffset>
                </wp:positionV>
                <wp:extent cx="5792470" cy="1977656"/>
                <wp:effectExtent l="0" t="0" r="17780" b="22860"/>
                <wp:wrapNone/>
                <wp:docPr id="11" name="正方形/長方形 11"/>
                <wp:cNvGraphicFramePr/>
                <a:graphic xmlns:a="http://schemas.openxmlformats.org/drawingml/2006/main">
                  <a:graphicData uri="http://schemas.microsoft.com/office/word/2010/wordprocessingShape">
                    <wps:wsp>
                      <wps:cNvSpPr/>
                      <wps:spPr>
                        <a:xfrm>
                          <a:off x="0" y="0"/>
                          <a:ext cx="5792470" cy="1977656"/>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8pt;margin-top:5.7pt;width:456.1pt;height:15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" filled="f" strokecolor="windowText" strokeweight=".5pt">
                <v:stroke dashstyle="dash"/>
              </v:rect>
            </w:pict>
          </mc:Fallback>
        </mc:AlternateContent>
      </w:r>
    </w:p>
    <w:p w:rsidR="0056339C" w:rsidRPr="0056339C" w:rsidRDefault="0056339C" w:rsidP="00063A46">
      <w:pPr>
        <w:widowControl/>
      </w:pPr>
      <w:r w:rsidRPr="0056339C">
        <w:rPr>
          <w:rFonts w:hint="eastAsia"/>
        </w:rPr>
        <w:t xml:space="preserve">　＜大気汚染防止法</w:t>
      </w:r>
      <w:r w:rsidRPr="0056339C">
        <w:rPr>
          <w:rFonts w:hint="eastAsia"/>
        </w:rPr>
        <w:t>_</w:t>
      </w:r>
      <w:r w:rsidRPr="0056339C">
        <w:rPr>
          <w:rFonts w:hint="eastAsia"/>
        </w:rPr>
        <w:t>抜粋＞</w:t>
      </w:r>
    </w:p>
    <w:p w:rsidR="0056339C" w:rsidRPr="0056339C" w:rsidRDefault="0056339C" w:rsidP="00063A46">
      <w:pPr>
        <w:widowControl/>
        <w:ind w:leftChars="50" w:left="210" w:hangingChars="50" w:hanging="105"/>
      </w:pPr>
      <w:r w:rsidRPr="0056339C">
        <w:rPr>
          <w:rFonts w:hint="eastAsia"/>
        </w:rPr>
        <w:t xml:space="preserve">（第四条）　</w:t>
      </w:r>
    </w:p>
    <w:p w:rsidR="0056339C" w:rsidRPr="0056339C" w:rsidRDefault="0056339C" w:rsidP="00063A46">
      <w:pPr>
        <w:widowControl/>
        <w:ind w:leftChars="100" w:left="210"/>
      </w:pPr>
      <w:r w:rsidRPr="0056339C">
        <w:rPr>
          <w:rFonts w:hint="eastAsia"/>
        </w:rPr>
        <w:t>都道府県は、当該都道府県の区域のうちに、その自</w:t>
      </w:r>
      <w:r w:rsidRPr="00063A46">
        <w:rPr>
          <w:rFonts w:hint="eastAsia"/>
          <w:u w:val="single"/>
        </w:rPr>
        <w:t>然的、社会的条件から判断</w:t>
      </w:r>
      <w:r w:rsidRPr="0056339C">
        <w:rPr>
          <w:rFonts w:hint="eastAsia"/>
        </w:rPr>
        <w:t>して、</w:t>
      </w:r>
      <w:r w:rsidRPr="00063A46">
        <w:rPr>
          <w:rFonts w:hint="eastAsia"/>
          <w:u w:val="single"/>
        </w:rPr>
        <w:t>ばいじん又は有害物質に係る前条第一項から第三項の排出基準</w:t>
      </w:r>
      <w:r w:rsidRPr="0056339C">
        <w:rPr>
          <w:rFonts w:hint="eastAsia"/>
        </w:rPr>
        <w:t>によつては、</w:t>
      </w:r>
      <w:r w:rsidRPr="00063A46">
        <w:rPr>
          <w:rFonts w:hint="eastAsia"/>
        </w:rPr>
        <w:t>人の健康を保護し、又は生活環境を保全することが十分でないと認められる区域があるとき</w:t>
      </w:r>
      <w:r w:rsidRPr="0056339C">
        <w:rPr>
          <w:rFonts w:hint="eastAsia"/>
        </w:rPr>
        <w:t>は、その区域におけるばい煙発生施設において発生するこれらの物質について、政令で定めるところにより、</w:t>
      </w:r>
      <w:r w:rsidRPr="0056339C">
        <w:rPr>
          <w:rFonts w:hint="eastAsia"/>
          <w:u w:val="single"/>
        </w:rPr>
        <w:t>条例で</w:t>
      </w:r>
      <w:r w:rsidRPr="0056339C">
        <w:rPr>
          <w:rFonts w:hint="eastAsia"/>
        </w:rPr>
        <w:t>、同条第一項の排出基準にかえて適用すべき同項の</w:t>
      </w:r>
      <w:r w:rsidRPr="0056339C">
        <w:rPr>
          <w:rFonts w:hint="eastAsia"/>
          <w:u w:val="single"/>
        </w:rPr>
        <w:t>排出基準で定める許容限度よりきびしい許容限度を定める排出基準を定めることができる</w:t>
      </w:r>
      <w:r w:rsidRPr="0056339C">
        <w:rPr>
          <w:rFonts w:hint="eastAsia"/>
        </w:rPr>
        <w:t>。</w:t>
      </w:r>
    </w:p>
    <w:p w:rsidR="00793969" w:rsidRDefault="00793969" w:rsidP="0056339C">
      <w:pPr>
        <w:widowControl/>
      </w:pPr>
    </w:p>
    <w:p w:rsidR="0056339C" w:rsidRPr="0056339C" w:rsidRDefault="00063A46" w:rsidP="0056339C">
      <w:pPr>
        <w:widowControl/>
        <w:rPr>
          <w:rFonts w:asciiTheme="majorEastAsia" w:eastAsiaTheme="majorEastAsia" w:hAnsiTheme="majorEastAsia"/>
        </w:rPr>
      </w:pPr>
      <w:r>
        <w:rPr>
          <w:rFonts w:asciiTheme="majorEastAsia" w:eastAsiaTheme="majorEastAsia" w:hAnsiTheme="majorEastAsia" w:hint="eastAsia"/>
        </w:rPr>
        <w:t>（２）横出しに関する規定（法第32条）</w:t>
      </w:r>
    </w:p>
    <w:p w:rsidR="0056339C" w:rsidRPr="00402977" w:rsidRDefault="0056339C" w:rsidP="00793969">
      <w:pPr>
        <w:widowControl/>
        <w:ind w:left="206" w:hangingChars="100" w:hanging="206"/>
      </w:pPr>
      <w:r w:rsidRPr="0056339C">
        <w:rPr>
          <w:rFonts w:hint="eastAsia"/>
          <w:spacing w:val="-2"/>
        </w:rPr>
        <w:t xml:space="preserve">　</w:t>
      </w:r>
      <w:r w:rsidR="00793969" w:rsidRPr="001A4635">
        <w:rPr>
          <w:rFonts w:hint="eastAsia"/>
          <w:spacing w:val="-4"/>
        </w:rPr>
        <w:t xml:space="preserve">　</w:t>
      </w:r>
      <w:r w:rsidR="001A4635" w:rsidRPr="00402977">
        <w:rPr>
          <w:rFonts w:hint="eastAsia"/>
        </w:rPr>
        <w:t>法では、</w:t>
      </w:r>
      <w:r w:rsidR="00402977" w:rsidRPr="00402977">
        <w:rPr>
          <w:rFonts w:hint="eastAsia"/>
        </w:rPr>
        <w:t>水銀排出施設</w:t>
      </w:r>
      <w:r w:rsidR="00063A46" w:rsidRPr="00402977">
        <w:rPr>
          <w:rFonts w:hint="eastAsia"/>
        </w:rPr>
        <w:t>について、水銀以外の物質の大気中への排出及び水銀排出施設以外の</w:t>
      </w:r>
      <w:r w:rsidR="00063A46" w:rsidRPr="00402977">
        <w:rPr>
          <w:rFonts w:hint="eastAsia"/>
          <w:spacing w:val="-4"/>
        </w:rPr>
        <w:t>施設に係る水銀の大気中への排出に関し、条例で必要な規制を定めることを妨げないこととしている。</w:t>
      </w:r>
    </w:p>
    <w:p w:rsidR="0056339C" w:rsidRPr="0056339C" w:rsidRDefault="0056339C" w:rsidP="0056339C">
      <w:pPr>
        <w:widowControl/>
        <w:spacing w:line="200" w:lineRule="exact"/>
      </w:pPr>
      <w:r w:rsidRPr="0056339C">
        <w:rPr>
          <w:rFonts w:hint="eastAsia"/>
          <w:noProof/>
          <w:spacing w:val="2"/>
          <w:szCs w:val="18"/>
        </w:rPr>
        <mc:AlternateContent>
          <mc:Choice Requires="wps">
            <w:drawing>
              <wp:anchor distT="0" distB="0" distL="114300" distR="114300" simplePos="0" relativeHeight="251678720" behindDoc="0" locked="0" layoutInCell="1" allowOverlap="1" wp14:anchorId="079A035A" wp14:editId="3A7F4393">
                <wp:simplePos x="0" y="0"/>
                <wp:positionH relativeFrom="column">
                  <wp:posOffset>35722</wp:posOffset>
                </wp:positionH>
                <wp:positionV relativeFrom="paragraph">
                  <wp:posOffset>57150</wp:posOffset>
                </wp:positionV>
                <wp:extent cx="5792470" cy="1913860"/>
                <wp:effectExtent l="0" t="0" r="17780" b="10795"/>
                <wp:wrapNone/>
                <wp:docPr id="12" name="正方形/長方形 12"/>
                <wp:cNvGraphicFramePr/>
                <a:graphic xmlns:a="http://schemas.openxmlformats.org/drawingml/2006/main">
                  <a:graphicData uri="http://schemas.microsoft.com/office/word/2010/wordprocessingShape">
                    <wps:wsp>
                      <wps:cNvSpPr/>
                      <wps:spPr>
                        <a:xfrm>
                          <a:off x="0" y="0"/>
                          <a:ext cx="5792470" cy="191386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2.8pt;margin-top:4.5pt;width:456.1pt;height:15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" filled="f" strokecolor="windowText" strokeweight=".5pt">
                <v:stroke dashstyle="dash"/>
              </v:rect>
            </w:pict>
          </mc:Fallback>
        </mc:AlternateContent>
      </w:r>
    </w:p>
    <w:p w:rsidR="0056339C" w:rsidRPr="0056339C" w:rsidRDefault="0056339C" w:rsidP="0056339C">
      <w:pPr>
        <w:widowControl/>
        <w:spacing w:line="320" w:lineRule="exact"/>
        <w:ind w:firstLineChars="100" w:firstLine="210"/>
      </w:pPr>
      <w:r w:rsidRPr="0056339C">
        <w:rPr>
          <w:rFonts w:hint="eastAsia"/>
        </w:rPr>
        <w:t>＜大気汚染防止法</w:t>
      </w:r>
      <w:r w:rsidRPr="0056339C">
        <w:rPr>
          <w:rFonts w:hint="eastAsia"/>
        </w:rPr>
        <w:t>_</w:t>
      </w:r>
      <w:r w:rsidRPr="0056339C">
        <w:rPr>
          <w:rFonts w:hint="eastAsia"/>
        </w:rPr>
        <w:t>抜粋＞</w:t>
      </w:r>
    </w:p>
    <w:p w:rsidR="0056339C" w:rsidRPr="0056339C" w:rsidRDefault="0056339C" w:rsidP="0056339C">
      <w:pPr>
        <w:widowControl/>
        <w:spacing w:line="320" w:lineRule="exact"/>
        <w:ind w:firstLineChars="100" w:firstLine="210"/>
      </w:pPr>
      <w:r w:rsidRPr="0056339C">
        <w:rPr>
          <w:rFonts w:hint="eastAsia"/>
        </w:rPr>
        <w:t>（第三十二条　条例との関係）</w:t>
      </w:r>
    </w:p>
    <w:p w:rsidR="0056339C" w:rsidRDefault="0056339C" w:rsidP="00063A46">
      <w:pPr>
        <w:widowControl/>
        <w:ind w:leftChars="100" w:left="210"/>
      </w:pPr>
      <w:r w:rsidRPr="0056339C">
        <w:rPr>
          <w:rFonts w:hint="eastAsia"/>
        </w:rPr>
        <w:t>この法律の規定は、地方公共団体が、ばい煙発生施設について、そのばい煙発生施設において発生するばい煙以外の物質の大気中への排出に関し、ばい煙発生施設以外のばい煙を発生し、及び排出する施設について、その施設において発生するばい煙の大気中への排出に関し、（省略）、</w:t>
      </w:r>
      <w:r w:rsidRPr="00063A46">
        <w:rPr>
          <w:rFonts w:hint="eastAsia"/>
          <w:u w:val="single"/>
        </w:rPr>
        <w:t>水銀排出施設について</w:t>
      </w:r>
      <w:r w:rsidRPr="0056339C">
        <w:rPr>
          <w:rFonts w:hint="eastAsia"/>
        </w:rPr>
        <w:t>、</w:t>
      </w:r>
      <w:r w:rsidRPr="00063A46">
        <w:rPr>
          <w:rFonts w:hint="eastAsia"/>
          <w:u w:val="single"/>
        </w:rPr>
        <w:t>その水銀排出施設に係る水銀等以外の物質の大気中への排出</w:t>
      </w:r>
      <w:r w:rsidRPr="0056339C">
        <w:rPr>
          <w:rFonts w:hint="eastAsia"/>
        </w:rPr>
        <w:t>に関し、並びに</w:t>
      </w:r>
      <w:r w:rsidRPr="00063A46">
        <w:rPr>
          <w:rFonts w:hint="eastAsia"/>
          <w:u w:val="single"/>
        </w:rPr>
        <w:t>水銀排出施設以外の水銀等を大気中に排出する施設について、その施設に係る水銀等の大気中への排出</w:t>
      </w:r>
      <w:r w:rsidRPr="0056339C">
        <w:rPr>
          <w:rFonts w:hint="eastAsia"/>
        </w:rPr>
        <w:t>に関し、</w:t>
      </w:r>
      <w:r w:rsidRPr="00063A46">
        <w:rPr>
          <w:rFonts w:hint="eastAsia"/>
          <w:u w:val="single"/>
        </w:rPr>
        <w:t>条例で必要な規制を定めることを妨げるものではない</w:t>
      </w:r>
      <w:r w:rsidRPr="0056339C">
        <w:rPr>
          <w:rFonts w:hint="eastAsia"/>
        </w:rPr>
        <w:t>。</w:t>
      </w:r>
    </w:p>
    <w:p w:rsidR="00063A46" w:rsidRPr="0056339C" w:rsidRDefault="00063A46" w:rsidP="0056339C">
      <w:pPr>
        <w:widowControl/>
        <w:spacing w:line="320" w:lineRule="exact"/>
        <w:ind w:leftChars="100" w:left="210"/>
      </w:pPr>
    </w:p>
    <w:p w:rsidR="0056339C" w:rsidRPr="0056339C" w:rsidRDefault="002D59F0" w:rsidP="0056339C">
      <w:pPr>
        <w:widowControl/>
        <w:rPr>
          <w:rFonts w:asciiTheme="majorEastAsia" w:eastAsiaTheme="majorEastAsia" w:hAnsiTheme="majorEastAsia"/>
        </w:rPr>
      </w:pPr>
      <w:r>
        <w:rPr>
          <w:rFonts w:asciiTheme="majorEastAsia" w:eastAsiaTheme="majorEastAsia" w:hAnsiTheme="majorEastAsia" w:hint="eastAsia"/>
        </w:rPr>
        <w:t>（３）法と条例による規制の重複</w:t>
      </w:r>
      <w:r w:rsidR="0056339C" w:rsidRPr="0056339C">
        <w:rPr>
          <w:rFonts w:asciiTheme="majorEastAsia" w:eastAsiaTheme="majorEastAsia" w:hAnsiTheme="majorEastAsia" w:hint="eastAsia"/>
        </w:rPr>
        <w:t>について</w:t>
      </w:r>
    </w:p>
    <w:p w:rsidR="0056339C" w:rsidRPr="0056339C" w:rsidRDefault="0056339C" w:rsidP="00793969">
      <w:pPr>
        <w:widowControl/>
        <w:ind w:left="202" w:hangingChars="100" w:hanging="202"/>
      </w:pPr>
      <w:r w:rsidRPr="0056339C">
        <w:rPr>
          <w:rFonts w:hint="eastAsia"/>
          <w:spacing w:val="-4"/>
        </w:rPr>
        <w:t xml:space="preserve">　</w:t>
      </w:r>
      <w:r w:rsidR="00793969">
        <w:rPr>
          <w:rFonts w:hint="eastAsia"/>
          <w:spacing w:val="-4"/>
        </w:rPr>
        <w:t xml:space="preserve">　</w:t>
      </w:r>
      <w:r w:rsidRPr="00B15C0B">
        <w:rPr>
          <w:rFonts w:hint="eastAsia"/>
        </w:rPr>
        <w:t>現条例の制定時に大阪府公害対策審議会から受けた答申（「環境保全条例のあり方について」平</w:t>
      </w:r>
      <w:r w:rsidRPr="0056339C">
        <w:rPr>
          <w:rFonts w:hint="eastAsia"/>
          <w:spacing w:val="-4"/>
        </w:rPr>
        <w:t>成</w:t>
      </w:r>
      <w:r w:rsidRPr="0056339C">
        <w:rPr>
          <w:rFonts w:asciiTheme="minorEastAsia" w:hAnsiTheme="minorEastAsia" w:hint="eastAsia"/>
          <w:spacing w:val="2"/>
        </w:rPr>
        <w:t>５</w:t>
      </w:r>
      <w:r w:rsidRPr="0056339C">
        <w:rPr>
          <w:rFonts w:hint="eastAsia"/>
          <w:spacing w:val="2"/>
        </w:rPr>
        <w:t>年</w:t>
      </w:r>
      <w:r w:rsidRPr="0056339C">
        <w:rPr>
          <w:rFonts w:asciiTheme="minorEastAsia" w:hAnsiTheme="minorEastAsia" w:hint="eastAsia"/>
          <w:spacing w:val="2"/>
        </w:rPr>
        <w:t>12</w:t>
      </w:r>
      <w:r w:rsidRPr="0056339C">
        <w:rPr>
          <w:rFonts w:hint="eastAsia"/>
          <w:spacing w:val="2"/>
        </w:rPr>
        <w:t>月</w:t>
      </w:r>
      <w:r w:rsidRPr="0056339C">
        <w:rPr>
          <w:rFonts w:asciiTheme="minorEastAsia" w:hAnsiTheme="minorEastAsia" w:hint="eastAsia"/>
          <w:spacing w:val="2"/>
        </w:rPr>
        <w:t>20</w:t>
      </w:r>
      <w:r w:rsidRPr="0056339C">
        <w:rPr>
          <w:rFonts w:hint="eastAsia"/>
          <w:spacing w:val="2"/>
        </w:rPr>
        <w:t>日付け答申第</w:t>
      </w:r>
      <w:r w:rsidRPr="0056339C">
        <w:rPr>
          <w:rFonts w:asciiTheme="minorEastAsia" w:hAnsiTheme="minorEastAsia" w:hint="eastAsia"/>
          <w:spacing w:val="2"/>
        </w:rPr>
        <w:t>37</w:t>
      </w:r>
      <w:r w:rsidRPr="0056339C">
        <w:rPr>
          <w:rFonts w:hint="eastAsia"/>
          <w:spacing w:val="2"/>
        </w:rPr>
        <w:t>号）では、有害物質の規制対象施設について、「大防法で対象とする</w:t>
      </w:r>
      <w:r w:rsidRPr="0056339C">
        <w:rPr>
          <w:rFonts w:hint="eastAsia"/>
          <w:spacing w:val="-2"/>
        </w:rPr>
        <w:t>有害物質と重複する規制</w:t>
      </w:r>
      <w:r w:rsidRPr="0056339C">
        <w:rPr>
          <w:rFonts w:hint="eastAsia"/>
          <w:spacing w:val="2"/>
        </w:rPr>
        <w:t>物質の規制対象施設は、同法において対処する」という</w:t>
      </w:r>
      <w:r w:rsidRPr="00B15C0B">
        <w:rPr>
          <w:rFonts w:hint="eastAsia"/>
          <w:spacing w:val="-2"/>
        </w:rPr>
        <w:t>考え方が示されている。これに沿って、法と条例で重複する有害物質（カドミウム、鉛、塩素</w:t>
      </w:r>
      <w:r w:rsidRPr="0056339C">
        <w:rPr>
          <w:rFonts w:hint="eastAsia"/>
        </w:rPr>
        <w:t>、塩化水素）の規制対象施設については、条例の規制対象から除外している。</w:t>
      </w:r>
    </w:p>
    <w:p w:rsidR="00D806F6" w:rsidRPr="00167EBC" w:rsidRDefault="00523860" w:rsidP="00167EBC">
      <w:pPr>
        <w:pStyle w:val="aa"/>
        <w:widowControl/>
        <w:numPr>
          <w:ilvl w:val="0"/>
          <w:numId w:val="14"/>
        </w:numPr>
        <w:ind w:leftChars="0"/>
        <w:jc w:val="left"/>
        <w:rPr>
          <w:rFonts w:asciiTheme="majorEastAsia" w:eastAsiaTheme="majorEastAsia" w:hAnsiTheme="majorEastAsia"/>
          <w:b/>
        </w:rPr>
      </w:pPr>
      <w:r>
        <w:rPr>
          <w:rFonts w:asciiTheme="majorEastAsia" w:eastAsiaTheme="majorEastAsia" w:hAnsiTheme="majorEastAsia" w:hint="eastAsia"/>
          <w:b/>
        </w:rPr>
        <w:lastRenderedPageBreak/>
        <w:t>条例と改正法</w:t>
      </w:r>
      <w:r w:rsidR="006A0049">
        <w:rPr>
          <w:rFonts w:asciiTheme="majorEastAsia" w:eastAsiaTheme="majorEastAsia" w:hAnsiTheme="majorEastAsia" w:hint="eastAsia"/>
          <w:b/>
        </w:rPr>
        <w:t>に基づく</w:t>
      </w:r>
      <w:r w:rsidR="008000BF">
        <w:rPr>
          <w:rFonts w:asciiTheme="majorEastAsia" w:eastAsiaTheme="majorEastAsia" w:hAnsiTheme="majorEastAsia" w:hint="eastAsia"/>
          <w:b/>
        </w:rPr>
        <w:t>水銀</w:t>
      </w:r>
      <w:r w:rsidR="006A0049">
        <w:rPr>
          <w:rFonts w:asciiTheme="majorEastAsia" w:eastAsiaTheme="majorEastAsia" w:hAnsiTheme="majorEastAsia" w:hint="eastAsia"/>
          <w:b/>
        </w:rPr>
        <w:t>規制</w:t>
      </w:r>
      <w:r w:rsidR="008000BF">
        <w:rPr>
          <w:rFonts w:asciiTheme="majorEastAsia" w:eastAsiaTheme="majorEastAsia" w:hAnsiTheme="majorEastAsia" w:hint="eastAsia"/>
          <w:b/>
        </w:rPr>
        <w:t>の適用</w:t>
      </w:r>
      <w:r w:rsidR="006A0049">
        <w:rPr>
          <w:rFonts w:asciiTheme="majorEastAsia" w:eastAsiaTheme="majorEastAsia" w:hAnsiTheme="majorEastAsia" w:hint="eastAsia"/>
          <w:b/>
        </w:rPr>
        <w:t>範囲</w:t>
      </w:r>
    </w:p>
    <w:p w:rsidR="004C0D9A" w:rsidRDefault="007F4DF7" w:rsidP="00E84871">
      <w:pPr>
        <w:widowControl/>
        <w:jc w:val="left"/>
        <w:rPr>
          <w:rFonts w:asciiTheme="minorEastAsia" w:hAnsiTheme="minorEastAsia"/>
        </w:rPr>
      </w:pPr>
      <w:r w:rsidRPr="007C449F">
        <w:rPr>
          <w:rFonts w:asciiTheme="minorEastAsia" w:hAnsiTheme="minorEastAsia" w:hint="eastAsia"/>
        </w:rPr>
        <w:t xml:space="preserve">　</w:t>
      </w:r>
      <w:r w:rsidR="00E84871">
        <w:rPr>
          <w:rFonts w:asciiTheme="minorEastAsia" w:hAnsiTheme="minorEastAsia" w:hint="eastAsia"/>
        </w:rPr>
        <w:t>条例</w:t>
      </w:r>
      <w:r w:rsidR="00523860">
        <w:rPr>
          <w:rFonts w:asciiTheme="minorEastAsia" w:hAnsiTheme="minorEastAsia" w:hint="eastAsia"/>
        </w:rPr>
        <w:t>と改正法</w:t>
      </w:r>
      <w:r w:rsidR="00AB7266">
        <w:rPr>
          <w:rFonts w:asciiTheme="minorEastAsia" w:hAnsiTheme="minorEastAsia" w:hint="eastAsia"/>
        </w:rPr>
        <w:t>に基づく水銀に関する規制について、施設の種類と</w:t>
      </w:r>
      <w:r w:rsidR="00E84871">
        <w:rPr>
          <w:rFonts w:asciiTheme="minorEastAsia" w:hAnsiTheme="minorEastAsia" w:hint="eastAsia"/>
        </w:rPr>
        <w:t>規模の点からまとめた概要を図１に示す。</w:t>
      </w:r>
    </w:p>
    <w:p w:rsidR="00390FA1" w:rsidRPr="00390FA1" w:rsidRDefault="00390FA1" w:rsidP="00E84871">
      <w:pPr>
        <w:widowControl/>
        <w:jc w:val="left"/>
        <w:rPr>
          <w:rFonts w:asciiTheme="minorEastAsia" w:hAnsiTheme="minorEastAsia"/>
          <w:spacing w:val="2"/>
        </w:rPr>
      </w:pPr>
      <w:r>
        <w:rPr>
          <w:rFonts w:asciiTheme="minorEastAsia" w:hAnsiTheme="minorEastAsia" w:hint="eastAsia"/>
        </w:rPr>
        <w:t xml:space="preserve">　</w:t>
      </w:r>
      <w:r w:rsidRPr="00390FA1">
        <w:rPr>
          <w:rFonts w:asciiTheme="minorEastAsia" w:hAnsiTheme="minorEastAsia" w:hint="eastAsia"/>
          <w:spacing w:val="2"/>
        </w:rPr>
        <w:t>枠内が条例による水銀の大気排出規制が適用される施設であり、（１）の斜線部が、条例と改正法の規制が重複する施設である。</w:t>
      </w:r>
    </w:p>
    <w:p w:rsidR="008000BF" w:rsidRPr="007C449F" w:rsidRDefault="008000BF" w:rsidP="001B1D67">
      <w:pPr>
        <w:widowControl/>
        <w:spacing w:line="200" w:lineRule="exact"/>
        <w:jc w:val="left"/>
        <w:rPr>
          <w:rFonts w:asciiTheme="minorEastAsia" w:hAnsiTheme="minorEastAsia"/>
        </w:rPr>
      </w:pPr>
    </w:p>
    <w:tbl>
      <w:tblPr>
        <w:tblStyle w:val="a3"/>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3D4788" w:rsidTr="008000BF">
        <w:trPr>
          <w:jc w:val="center"/>
        </w:trPr>
        <w:tc>
          <w:tcPr>
            <w:tcW w:w="9606" w:type="dxa"/>
          </w:tcPr>
          <w:p w:rsidR="003D4788" w:rsidRDefault="001B1D67" w:rsidP="001B1D67">
            <w:pPr>
              <w:widowControl/>
              <w:jc w:val="right"/>
              <w:rPr>
                <w:rFonts w:asciiTheme="majorEastAsia" w:eastAsiaTheme="majorEastAsia" w:hAnsiTheme="majorEastAsia"/>
                <w:spacing w:val="2"/>
                <w:szCs w:val="18"/>
              </w:rPr>
            </w:pPr>
            <w:r>
              <w:rPr>
                <w:rFonts w:asciiTheme="majorEastAsia" w:eastAsiaTheme="majorEastAsia" w:hAnsiTheme="majorEastAsia"/>
                <w:noProof/>
                <w:spacing w:val="2"/>
                <w:szCs w:val="18"/>
              </w:rPr>
              <w:drawing>
                <wp:inline distT="0" distB="0" distL="0" distR="0">
                  <wp:extent cx="5962650" cy="243516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8993" cy="2437756"/>
                          </a:xfrm>
                          <a:prstGeom prst="rect">
                            <a:avLst/>
                          </a:prstGeom>
                          <a:noFill/>
                          <a:ln>
                            <a:noFill/>
                          </a:ln>
                        </pic:spPr>
                      </pic:pic>
                    </a:graphicData>
                  </a:graphic>
                </wp:inline>
              </w:drawing>
            </w:r>
          </w:p>
          <w:p w:rsidR="00E84871" w:rsidRDefault="00390FA1" w:rsidP="00AB7266">
            <w:pPr>
              <w:widowControl/>
              <w:spacing w:line="280" w:lineRule="exact"/>
              <w:jc w:val="left"/>
              <w:rPr>
                <w:rFonts w:asciiTheme="majorEastAsia" w:eastAsiaTheme="majorEastAsia" w:hAnsiTheme="majorEastAsia"/>
                <w:spacing w:val="2"/>
                <w:szCs w:val="18"/>
              </w:rPr>
            </w:pPr>
            <w:r>
              <w:rPr>
                <w:rFonts w:asciiTheme="majorEastAsia" w:eastAsiaTheme="majorEastAsia" w:hAnsiTheme="majorEastAsia" w:hint="eastAsia"/>
                <w:spacing w:val="2"/>
                <w:szCs w:val="18"/>
              </w:rPr>
              <w:t xml:space="preserve">　</w:t>
            </w:r>
          </w:p>
          <w:p w:rsidR="00167EBC" w:rsidRDefault="0049497B" w:rsidP="00167EBC">
            <w:pPr>
              <w:widowControl/>
              <w:jc w:val="center"/>
              <w:rPr>
                <w:rFonts w:asciiTheme="majorEastAsia" w:eastAsiaTheme="majorEastAsia" w:hAnsiTheme="majorEastAsia"/>
                <w:spacing w:val="2"/>
                <w:szCs w:val="18"/>
              </w:rPr>
            </w:pPr>
            <w:r>
              <w:rPr>
                <w:rFonts w:asciiTheme="majorEastAsia" w:eastAsiaTheme="majorEastAsia" w:hAnsiTheme="majorEastAsia" w:hint="eastAsia"/>
                <w:spacing w:val="2"/>
                <w:szCs w:val="18"/>
              </w:rPr>
              <w:t>図</w:t>
            </w:r>
            <w:r w:rsidR="00000638">
              <w:rPr>
                <w:rFonts w:asciiTheme="majorEastAsia" w:eastAsiaTheme="majorEastAsia" w:hAnsiTheme="majorEastAsia" w:hint="eastAsia"/>
                <w:spacing w:val="2"/>
                <w:szCs w:val="18"/>
              </w:rPr>
              <w:t>１</w:t>
            </w:r>
            <w:r w:rsidR="00E84871">
              <w:rPr>
                <w:rFonts w:asciiTheme="majorEastAsia" w:eastAsiaTheme="majorEastAsia" w:hAnsiTheme="majorEastAsia" w:hint="eastAsia"/>
                <w:spacing w:val="2"/>
                <w:szCs w:val="18"/>
              </w:rPr>
              <w:t xml:space="preserve">　施設の種類と規模からみた条例と法の水銀規制関係</w:t>
            </w:r>
          </w:p>
        </w:tc>
      </w:tr>
    </w:tbl>
    <w:p w:rsidR="006A0049" w:rsidRDefault="006A0049" w:rsidP="00523860">
      <w:pPr>
        <w:widowControl/>
        <w:spacing w:line="240" w:lineRule="exact"/>
        <w:rPr>
          <w:rFonts w:asciiTheme="minorEastAsia" w:hAnsiTheme="minorEastAsia"/>
          <w:spacing w:val="2"/>
          <w:szCs w:val="18"/>
        </w:rPr>
      </w:pPr>
    </w:p>
    <w:p w:rsidR="00B50F80" w:rsidRPr="008F6E35" w:rsidRDefault="00A2614E" w:rsidP="00B50F80">
      <w:pPr>
        <w:widowControl/>
        <w:jc w:val="left"/>
        <w:rPr>
          <w:rFonts w:asciiTheme="majorEastAsia" w:eastAsiaTheme="majorEastAsia" w:hAnsiTheme="majorEastAsia"/>
          <w:b/>
        </w:rPr>
      </w:pPr>
      <w:r>
        <w:rPr>
          <w:rFonts w:asciiTheme="majorEastAsia" w:eastAsiaTheme="majorEastAsia" w:hAnsiTheme="majorEastAsia" w:hint="eastAsia"/>
          <w:b/>
        </w:rPr>
        <w:t>３</w:t>
      </w:r>
      <w:r w:rsidR="00B50F80">
        <w:rPr>
          <w:rFonts w:asciiTheme="majorEastAsia" w:eastAsiaTheme="majorEastAsia" w:hAnsiTheme="majorEastAsia" w:hint="eastAsia"/>
          <w:b/>
        </w:rPr>
        <w:t>．論点整理</w:t>
      </w:r>
      <w:r>
        <w:rPr>
          <w:rFonts w:asciiTheme="majorEastAsia" w:eastAsiaTheme="majorEastAsia" w:hAnsiTheme="majorEastAsia" w:hint="eastAsia"/>
          <w:b/>
        </w:rPr>
        <w:t>（案）</w:t>
      </w:r>
    </w:p>
    <w:p w:rsidR="00063A46" w:rsidRDefault="00063A46" w:rsidP="00063A46">
      <w:pPr>
        <w:widowControl/>
        <w:jc w:val="left"/>
        <w:rPr>
          <w:rFonts w:asciiTheme="minorEastAsia" w:hAnsiTheme="minorEastAsia"/>
        </w:rPr>
      </w:pPr>
      <w:r w:rsidRPr="00D806F6">
        <w:rPr>
          <w:rFonts w:asciiTheme="minorEastAsia" w:hAnsiTheme="minorEastAsia" w:hint="eastAsia"/>
        </w:rPr>
        <w:t xml:space="preserve">　</w:t>
      </w:r>
      <w:r>
        <w:rPr>
          <w:rFonts w:asciiTheme="minorEastAsia" w:hAnsiTheme="minorEastAsia" w:hint="eastAsia"/>
        </w:rPr>
        <w:t>大阪府環境審議会（平成29年６月６日）において諮問した</w:t>
      </w:r>
      <w:r w:rsidR="001B1D67">
        <w:rPr>
          <w:rFonts w:asciiTheme="minorEastAsia" w:hAnsiTheme="minorEastAsia" w:hint="eastAsia"/>
        </w:rPr>
        <w:t>際に</w:t>
      </w:r>
      <w:r>
        <w:rPr>
          <w:rFonts w:asciiTheme="minorEastAsia" w:hAnsiTheme="minorEastAsia" w:hint="eastAsia"/>
        </w:rPr>
        <w:t>検討内容</w:t>
      </w:r>
      <w:r w:rsidR="001B1D67">
        <w:rPr>
          <w:rFonts w:asciiTheme="minorEastAsia" w:hAnsiTheme="minorEastAsia" w:hint="eastAsia"/>
        </w:rPr>
        <w:t>（案）として、</w:t>
      </w:r>
    </w:p>
    <w:p w:rsidR="00063A46" w:rsidRPr="006A0049" w:rsidRDefault="00063A46" w:rsidP="00402977">
      <w:pPr>
        <w:widowControl/>
        <w:spacing w:line="240" w:lineRule="exact"/>
        <w:ind w:firstLineChars="100" w:firstLine="210"/>
        <w:jc w:val="left"/>
        <w:rPr>
          <w:rFonts w:asciiTheme="minorEastAsia" w:hAnsiTheme="minorEastAsia"/>
        </w:rPr>
      </w:pPr>
    </w:p>
    <w:p w:rsidR="00063A46" w:rsidRDefault="00063A46" w:rsidP="00402977">
      <w:pPr>
        <w:widowControl/>
        <w:ind w:firstLineChars="200" w:firstLine="420"/>
        <w:jc w:val="left"/>
        <w:rPr>
          <w:rFonts w:asciiTheme="minorEastAsia" w:hAnsiTheme="minorEastAsia"/>
        </w:rPr>
      </w:pPr>
      <w:r w:rsidRPr="00D806F6">
        <w:rPr>
          <w:rFonts w:asciiTheme="minorEastAsia" w:hAnsiTheme="minorEastAsia" w:hint="eastAsia"/>
        </w:rPr>
        <w:t>条例に基づく</w:t>
      </w:r>
      <w:r>
        <w:rPr>
          <w:rFonts w:asciiTheme="minorEastAsia" w:hAnsiTheme="minorEastAsia" w:hint="eastAsia"/>
        </w:rPr>
        <w:t>水銀の規制対象施設であって、</w:t>
      </w:r>
    </w:p>
    <w:p w:rsidR="00063A46" w:rsidRDefault="00063A46" w:rsidP="00402977">
      <w:pPr>
        <w:widowControl/>
        <w:ind w:firstLineChars="100" w:firstLine="210"/>
        <w:jc w:val="left"/>
        <w:rPr>
          <w:rFonts w:asciiTheme="minorEastAsia" w:hAnsiTheme="minorEastAsia"/>
        </w:rPr>
      </w:pPr>
      <w:r>
        <w:rPr>
          <w:rFonts w:asciiTheme="minorEastAsia" w:hAnsiTheme="minorEastAsia" w:hint="eastAsia"/>
        </w:rPr>
        <w:t xml:space="preserve">　・法の規制対象にも該当する施設に対する排出規制</w:t>
      </w:r>
    </w:p>
    <w:p w:rsidR="00063A46" w:rsidRDefault="00063A46" w:rsidP="00402977">
      <w:pPr>
        <w:widowControl/>
        <w:jc w:val="left"/>
        <w:rPr>
          <w:rFonts w:asciiTheme="minorEastAsia" w:hAnsiTheme="minorEastAsia"/>
        </w:rPr>
      </w:pPr>
      <w:r>
        <w:rPr>
          <w:rFonts w:asciiTheme="minorEastAsia" w:hAnsiTheme="minorEastAsia" w:hint="eastAsia"/>
        </w:rPr>
        <w:t xml:space="preserve">　</w:t>
      </w:r>
      <w:r w:rsidR="00523860">
        <w:rPr>
          <w:rFonts w:asciiTheme="minorEastAsia" w:hAnsiTheme="minorEastAsia" w:hint="eastAsia"/>
        </w:rPr>
        <w:t xml:space="preserve">　</w:t>
      </w:r>
      <w:r>
        <w:rPr>
          <w:rFonts w:asciiTheme="minorEastAsia" w:hAnsiTheme="minorEastAsia" w:hint="eastAsia"/>
        </w:rPr>
        <w:t>・法の規制対象に該当しない施設に対する排出規制</w:t>
      </w:r>
    </w:p>
    <w:p w:rsidR="00063A46" w:rsidRDefault="00063A46" w:rsidP="00402977">
      <w:pPr>
        <w:widowControl/>
        <w:ind w:firstLineChars="100" w:firstLine="210"/>
        <w:jc w:val="left"/>
        <w:rPr>
          <w:rFonts w:asciiTheme="minorEastAsia" w:hAnsiTheme="minorEastAsia"/>
        </w:rPr>
      </w:pPr>
      <w:r>
        <w:rPr>
          <w:rFonts w:asciiTheme="minorEastAsia" w:hAnsiTheme="minorEastAsia" w:hint="eastAsia"/>
        </w:rPr>
        <w:t xml:space="preserve">　のあり方</w:t>
      </w:r>
    </w:p>
    <w:p w:rsidR="00063A46" w:rsidRDefault="00063A46" w:rsidP="00523860">
      <w:pPr>
        <w:widowControl/>
        <w:spacing w:line="200" w:lineRule="exact"/>
        <w:ind w:firstLineChars="100" w:firstLine="214"/>
        <w:rPr>
          <w:rFonts w:asciiTheme="minorEastAsia" w:hAnsiTheme="minorEastAsia"/>
          <w:spacing w:val="2"/>
          <w:szCs w:val="18"/>
        </w:rPr>
      </w:pPr>
    </w:p>
    <w:p w:rsidR="00365E7E" w:rsidRDefault="001B1D67" w:rsidP="00B50F80">
      <w:pPr>
        <w:widowControl/>
        <w:ind w:firstLineChars="100" w:firstLine="214"/>
        <w:rPr>
          <w:rFonts w:asciiTheme="minorEastAsia" w:hAnsiTheme="minorEastAsia"/>
          <w:spacing w:val="2"/>
          <w:szCs w:val="18"/>
        </w:rPr>
      </w:pPr>
      <w:r>
        <w:rPr>
          <w:rFonts w:asciiTheme="minorEastAsia" w:hAnsiTheme="minorEastAsia" w:hint="eastAsia"/>
          <w:spacing w:val="2"/>
          <w:szCs w:val="18"/>
        </w:rPr>
        <w:t>を掲げている。</w:t>
      </w:r>
    </w:p>
    <w:p w:rsidR="00E25865" w:rsidRDefault="00E25865" w:rsidP="00E25865">
      <w:pPr>
        <w:widowControl/>
        <w:spacing w:line="240" w:lineRule="exact"/>
        <w:ind w:firstLineChars="100" w:firstLine="214"/>
        <w:rPr>
          <w:rFonts w:asciiTheme="minorEastAsia" w:hAnsiTheme="minorEastAsia"/>
          <w:spacing w:val="2"/>
          <w:szCs w:val="18"/>
        </w:rPr>
      </w:pPr>
    </w:p>
    <w:p w:rsidR="00092681" w:rsidRPr="00092681" w:rsidRDefault="00092681" w:rsidP="00092681">
      <w:pPr>
        <w:pStyle w:val="aa"/>
        <w:widowControl/>
        <w:numPr>
          <w:ilvl w:val="0"/>
          <w:numId w:val="30"/>
        </w:numPr>
        <w:spacing w:line="340" w:lineRule="exact"/>
        <w:ind w:leftChars="0"/>
        <w:rPr>
          <w:rFonts w:asciiTheme="majorEastAsia" w:eastAsiaTheme="majorEastAsia" w:hAnsiTheme="majorEastAsia"/>
          <w:spacing w:val="2"/>
          <w:szCs w:val="18"/>
        </w:rPr>
      </w:pPr>
      <w:r>
        <w:rPr>
          <w:rFonts w:asciiTheme="majorEastAsia" w:eastAsiaTheme="majorEastAsia" w:hAnsiTheme="majorEastAsia" w:hint="eastAsia"/>
          <w:spacing w:val="2"/>
          <w:szCs w:val="18"/>
        </w:rPr>
        <w:t>条例に基づく水銀の排出規制対象施設について</w:t>
      </w:r>
    </w:p>
    <w:p w:rsidR="00680F9C" w:rsidRPr="00092681" w:rsidRDefault="00092681" w:rsidP="00092681">
      <w:pPr>
        <w:pStyle w:val="aa"/>
        <w:widowControl/>
        <w:numPr>
          <w:ilvl w:val="1"/>
          <w:numId w:val="30"/>
        </w:numPr>
        <w:spacing w:beforeLines="20" w:before="72"/>
        <w:ind w:leftChars="0" w:left="884" w:hanging="357"/>
        <w:rPr>
          <w:rFonts w:asciiTheme="majorEastAsia" w:eastAsiaTheme="majorEastAsia" w:hAnsiTheme="majorEastAsia"/>
          <w:spacing w:val="2"/>
          <w:szCs w:val="18"/>
        </w:rPr>
      </w:pPr>
      <w:r>
        <w:rPr>
          <w:rFonts w:asciiTheme="majorEastAsia" w:eastAsiaTheme="majorEastAsia" w:hAnsiTheme="majorEastAsia" w:hint="eastAsia"/>
          <w:spacing w:val="-4"/>
        </w:rPr>
        <w:t>法の規制対象にも該当する施設に対する排出規制のあり方</w:t>
      </w:r>
      <w:r w:rsidR="00A2614E" w:rsidRPr="00092681">
        <w:rPr>
          <w:rFonts w:asciiTheme="majorEastAsia" w:eastAsiaTheme="majorEastAsia" w:hAnsiTheme="majorEastAsia" w:hint="eastAsia"/>
          <w:spacing w:val="-2"/>
          <w:szCs w:val="18"/>
        </w:rPr>
        <w:t>（図１（１））</w:t>
      </w:r>
    </w:p>
    <w:p w:rsidR="001947A0" w:rsidRPr="00B117D2" w:rsidRDefault="00110D0F" w:rsidP="00092681">
      <w:pPr>
        <w:ind w:leftChars="200" w:left="935" w:hangingChars="250" w:hanging="515"/>
      </w:pPr>
      <w:r w:rsidRPr="008F4B24">
        <w:rPr>
          <w:rFonts w:asciiTheme="majorEastAsia" w:eastAsiaTheme="majorEastAsia" w:hAnsiTheme="majorEastAsia" w:hint="eastAsia"/>
          <w:spacing w:val="-2"/>
          <w:szCs w:val="18"/>
        </w:rPr>
        <w:t xml:space="preserve">　</w:t>
      </w:r>
      <w:r w:rsidR="008F4B24">
        <w:rPr>
          <w:rFonts w:asciiTheme="majorEastAsia" w:eastAsiaTheme="majorEastAsia" w:hAnsiTheme="majorEastAsia" w:hint="eastAsia"/>
          <w:spacing w:val="-2"/>
          <w:szCs w:val="18"/>
        </w:rPr>
        <w:t xml:space="preserve"> </w:t>
      </w:r>
      <w:r w:rsidR="001947A0" w:rsidRPr="00B117D2">
        <w:rPr>
          <w:rFonts w:hint="eastAsia"/>
        </w:rPr>
        <w:t>・</w:t>
      </w:r>
      <w:r w:rsidR="001947A0" w:rsidRPr="00B15C0B">
        <w:rPr>
          <w:rFonts w:hint="eastAsia"/>
          <w:spacing w:val="-2"/>
        </w:rPr>
        <w:t>改正法の施行に伴い、水銀の規制対象となる施設のうち、既に条例の規制対象</w:t>
      </w:r>
      <w:r w:rsidR="00523860" w:rsidRPr="00B15C0B">
        <w:rPr>
          <w:rFonts w:hint="eastAsia"/>
          <w:spacing w:val="-2"/>
        </w:rPr>
        <w:t>とされている施設がある</w:t>
      </w:r>
      <w:r w:rsidR="001947A0" w:rsidRPr="00B15C0B">
        <w:rPr>
          <w:rFonts w:hint="eastAsia"/>
          <w:spacing w:val="-2"/>
        </w:rPr>
        <w:t>。</w:t>
      </w:r>
    </w:p>
    <w:p w:rsidR="00E25865" w:rsidRDefault="001947A0" w:rsidP="00E25865">
      <w:pPr>
        <w:ind w:leftChars="350" w:left="945" w:hangingChars="100" w:hanging="210"/>
        <w:rPr>
          <w:spacing w:val="-2"/>
        </w:rPr>
      </w:pPr>
      <w:r w:rsidRPr="00B117D2">
        <w:rPr>
          <w:rFonts w:hint="eastAsia"/>
        </w:rPr>
        <w:t>・</w:t>
      </w:r>
      <w:r w:rsidR="00523860">
        <w:rPr>
          <w:rFonts w:hint="eastAsia"/>
          <w:spacing w:val="-2"/>
        </w:rPr>
        <w:t>現状のままであれば、改正法の施行に伴い、条例と改正法の２つの規制が事業者に適用されることとなる</w:t>
      </w:r>
      <w:r w:rsidRPr="00B117D2">
        <w:rPr>
          <w:rFonts w:hint="eastAsia"/>
          <w:spacing w:val="-2"/>
        </w:rPr>
        <w:t>。</w:t>
      </w:r>
    </w:p>
    <w:p w:rsidR="00E25865" w:rsidRPr="00E25865" w:rsidRDefault="001947A0" w:rsidP="00E25865">
      <w:pPr>
        <w:ind w:leftChars="350" w:left="941" w:hangingChars="100" w:hanging="206"/>
        <w:rPr>
          <w:spacing w:val="-8"/>
        </w:rPr>
      </w:pPr>
      <w:r>
        <w:rPr>
          <w:rFonts w:asciiTheme="minorEastAsia" w:hAnsiTheme="minorEastAsia" w:hint="eastAsia"/>
          <w:spacing w:val="-2"/>
          <w:szCs w:val="18"/>
        </w:rPr>
        <w:t>・</w:t>
      </w:r>
      <w:r w:rsidR="00402977" w:rsidRPr="00AB7266">
        <w:rPr>
          <w:rFonts w:hint="eastAsia"/>
        </w:rPr>
        <w:t>規制が重複する</w:t>
      </w:r>
      <w:r w:rsidRPr="00AB7266">
        <w:rPr>
          <w:rFonts w:hint="eastAsia"/>
        </w:rPr>
        <w:t>既設の</w:t>
      </w:r>
      <w:r w:rsidRPr="00AB7266">
        <w:rPr>
          <w:rFonts w:asciiTheme="minorEastAsia" w:hAnsiTheme="minorEastAsia" w:hint="eastAsia"/>
        </w:rPr>
        <w:t>128施</w:t>
      </w:r>
      <w:r w:rsidRPr="00AB7266">
        <w:rPr>
          <w:rFonts w:hint="eastAsia"/>
        </w:rPr>
        <w:t>設については、改正法の排出基準が条例に比べて厳しい。</w:t>
      </w:r>
    </w:p>
    <w:p w:rsidR="001947A0" w:rsidRPr="00E25865" w:rsidRDefault="001947A0" w:rsidP="00E25865">
      <w:pPr>
        <w:ind w:leftChars="350" w:left="945" w:hangingChars="100" w:hanging="210"/>
        <w:rPr>
          <w:spacing w:val="2"/>
        </w:rPr>
      </w:pPr>
      <w:r w:rsidRPr="00B117D2">
        <w:rPr>
          <w:rFonts w:hint="eastAsia"/>
        </w:rPr>
        <w:t>・</w:t>
      </w:r>
      <w:r w:rsidRPr="00E25865">
        <w:rPr>
          <w:rFonts w:hint="eastAsia"/>
          <w:spacing w:val="2"/>
        </w:rPr>
        <w:t>新設</w:t>
      </w:r>
      <w:r w:rsidR="00402977">
        <w:rPr>
          <w:rFonts w:hint="eastAsia"/>
          <w:spacing w:val="2"/>
        </w:rPr>
        <w:t>の</w:t>
      </w:r>
      <w:r w:rsidRPr="00E25865">
        <w:rPr>
          <w:rFonts w:hint="eastAsia"/>
          <w:spacing w:val="2"/>
        </w:rPr>
        <w:t>施設については、一般に水銀以外の有害物質を排出することから、その規制が適用され、敷地境界までの距離や煙突高さなど、立地条件等に一定の制約が働く。</w:t>
      </w:r>
    </w:p>
    <w:p w:rsidR="008F4B24" w:rsidRDefault="00523860" w:rsidP="00390FA1">
      <w:pPr>
        <w:ind w:leftChars="350" w:left="945" w:hangingChars="100" w:hanging="210"/>
        <w:rPr>
          <w:spacing w:val="-2"/>
        </w:rPr>
      </w:pPr>
      <w:r>
        <w:rPr>
          <w:rFonts w:hint="eastAsia"/>
        </w:rPr>
        <w:t>・</w:t>
      </w:r>
      <w:r w:rsidRPr="00523860">
        <w:rPr>
          <w:rFonts w:hint="eastAsia"/>
          <w:spacing w:val="-2"/>
        </w:rPr>
        <w:t>法と</w:t>
      </w:r>
      <w:r w:rsidR="001947A0" w:rsidRPr="00523860">
        <w:rPr>
          <w:rFonts w:hint="eastAsia"/>
          <w:spacing w:val="-2"/>
        </w:rPr>
        <w:t>条例で同一方法の規制が重複する他の有害物質（カドミウム、鉛、塩化水素、</w:t>
      </w:r>
      <w:r w:rsidR="00402977">
        <w:rPr>
          <w:rFonts w:hint="eastAsia"/>
          <w:spacing w:val="-2"/>
        </w:rPr>
        <w:t>塩素）は、</w:t>
      </w:r>
      <w:r w:rsidRPr="00523860">
        <w:rPr>
          <w:rFonts w:hint="eastAsia"/>
          <w:spacing w:val="-2"/>
        </w:rPr>
        <w:t>法により対処することとし</w:t>
      </w:r>
      <w:r w:rsidR="001947A0" w:rsidRPr="00523860">
        <w:rPr>
          <w:rFonts w:hint="eastAsia"/>
          <w:spacing w:val="-2"/>
        </w:rPr>
        <w:t>、</w:t>
      </w:r>
      <w:r w:rsidR="001947A0" w:rsidRPr="00B117D2">
        <w:rPr>
          <w:rFonts w:hint="eastAsia"/>
          <w:spacing w:val="-2"/>
        </w:rPr>
        <w:t>条例の規制対象から除外している。</w:t>
      </w:r>
    </w:p>
    <w:p w:rsidR="001947A0" w:rsidRPr="00092681" w:rsidRDefault="00092681" w:rsidP="00092681">
      <w:pPr>
        <w:ind w:firstLineChars="250" w:firstLine="535"/>
        <w:rPr>
          <w:rFonts w:asciiTheme="majorEastAsia" w:eastAsiaTheme="majorEastAsia" w:hAnsiTheme="majorEastAsia"/>
          <w:spacing w:val="2"/>
          <w:szCs w:val="18"/>
        </w:rPr>
      </w:pPr>
      <w:r>
        <w:rPr>
          <w:rFonts w:asciiTheme="majorEastAsia" w:eastAsiaTheme="majorEastAsia" w:hAnsiTheme="majorEastAsia" w:hint="eastAsia"/>
          <w:spacing w:val="2"/>
          <w:szCs w:val="18"/>
        </w:rPr>
        <w:lastRenderedPageBreak/>
        <w:t>②-1.</w:t>
      </w:r>
      <w:r w:rsidRPr="00092681">
        <w:rPr>
          <w:rFonts w:asciiTheme="majorEastAsia" w:eastAsiaTheme="majorEastAsia" w:hAnsiTheme="majorEastAsia" w:hint="eastAsia"/>
          <w:spacing w:val="2"/>
          <w:szCs w:val="18"/>
        </w:rPr>
        <w:t>法の規制対象に該当しない施設に対する排出規制のあり方</w:t>
      </w:r>
      <w:r w:rsidR="00E25865" w:rsidRPr="00092681">
        <w:rPr>
          <w:rFonts w:asciiTheme="majorEastAsia" w:eastAsiaTheme="majorEastAsia" w:hAnsiTheme="majorEastAsia" w:hint="eastAsia"/>
          <w:spacing w:val="2"/>
          <w:szCs w:val="18"/>
        </w:rPr>
        <w:t>（図１（２）、（３））</w:t>
      </w:r>
    </w:p>
    <w:p w:rsidR="00812A7E" w:rsidRPr="00812A7E" w:rsidRDefault="001947A0" w:rsidP="00DF77E0">
      <w:pPr>
        <w:spacing w:beforeLines="20" w:before="72"/>
        <w:ind w:leftChars="250" w:left="937" w:hangingChars="200" w:hanging="412"/>
        <w:rPr>
          <w:spacing w:val="-4"/>
        </w:rPr>
      </w:pPr>
      <w:r>
        <w:rPr>
          <w:rFonts w:asciiTheme="minorEastAsia" w:hAnsiTheme="minorEastAsia" w:hint="eastAsia"/>
          <w:spacing w:val="-2"/>
          <w:szCs w:val="18"/>
        </w:rPr>
        <w:t xml:space="preserve">　</w:t>
      </w:r>
      <w:r w:rsidRPr="00B117D2">
        <w:rPr>
          <w:rFonts w:hint="eastAsia"/>
        </w:rPr>
        <w:t>・</w:t>
      </w:r>
      <w:r w:rsidR="00E25865" w:rsidRPr="00E25865">
        <w:rPr>
          <w:rFonts w:hint="eastAsia"/>
          <w:spacing w:val="-4"/>
        </w:rPr>
        <w:t>改正法の水銀排出施設</w:t>
      </w:r>
      <w:r w:rsidRPr="00E25865">
        <w:rPr>
          <w:rFonts w:hint="eastAsia"/>
          <w:spacing w:val="-4"/>
        </w:rPr>
        <w:t>と同種類で規模未満の施設</w:t>
      </w:r>
      <w:r w:rsidR="00E25865" w:rsidRPr="00E25865">
        <w:rPr>
          <w:rFonts w:hint="eastAsia"/>
          <w:spacing w:val="-4"/>
        </w:rPr>
        <w:t>、改正</w:t>
      </w:r>
      <w:r w:rsidR="008F4B24" w:rsidRPr="00E25865">
        <w:rPr>
          <w:rFonts w:hint="eastAsia"/>
          <w:spacing w:val="-4"/>
        </w:rPr>
        <w:t>法の対象外となる</w:t>
      </w:r>
      <w:r w:rsidRPr="00E25865">
        <w:rPr>
          <w:rFonts w:hint="eastAsia"/>
          <w:spacing w:val="-4"/>
        </w:rPr>
        <w:t>施設に対して、条例で</w:t>
      </w:r>
      <w:r w:rsidR="00E25865">
        <w:rPr>
          <w:rFonts w:hint="eastAsia"/>
          <w:spacing w:val="-4"/>
        </w:rPr>
        <w:t>水銀の</w:t>
      </w:r>
      <w:r w:rsidRPr="00E25865">
        <w:rPr>
          <w:rFonts w:hint="eastAsia"/>
          <w:spacing w:val="-4"/>
        </w:rPr>
        <w:t>排出基準を適用している。</w:t>
      </w:r>
    </w:p>
    <w:p w:rsidR="00DF77E0" w:rsidRDefault="00DF77E0" w:rsidP="00150C32">
      <w:pPr>
        <w:ind w:leftChars="350" w:left="945" w:hangingChars="100" w:hanging="210"/>
      </w:pPr>
      <w:r>
        <w:rPr>
          <w:rFonts w:hint="eastAsia"/>
        </w:rPr>
        <w:t>・府内には、（２）の施設</w:t>
      </w:r>
      <w:r w:rsidR="00BE1FD3">
        <w:rPr>
          <w:rFonts w:hint="eastAsia"/>
        </w:rPr>
        <w:t>が１施設（休止中）、（３）の施設が</w:t>
      </w:r>
      <w:r w:rsidR="00BE1FD3" w:rsidRPr="00BE1FD3">
        <w:rPr>
          <w:rFonts w:asciiTheme="minorEastAsia" w:hAnsiTheme="minorEastAsia" w:hint="eastAsia"/>
        </w:rPr>
        <w:t>29</w:t>
      </w:r>
      <w:r w:rsidR="00BE1FD3">
        <w:rPr>
          <w:rFonts w:hint="eastAsia"/>
        </w:rPr>
        <w:t>施設所在する。</w:t>
      </w:r>
    </w:p>
    <w:p w:rsidR="00150C32" w:rsidRDefault="00CC7A9D" w:rsidP="00150C32">
      <w:pPr>
        <w:ind w:leftChars="350" w:left="945" w:hangingChars="100" w:hanging="210"/>
        <w:rPr>
          <w:rFonts w:asciiTheme="majorEastAsia" w:eastAsiaTheme="majorEastAsia" w:hAnsiTheme="majorEastAsia"/>
        </w:rPr>
      </w:pPr>
      <w:r>
        <w:rPr>
          <w:rFonts w:hint="eastAsia"/>
        </w:rPr>
        <w:t>・</w:t>
      </w:r>
      <w:r w:rsidR="001947A0" w:rsidRPr="00B15C0B">
        <w:rPr>
          <w:rFonts w:hint="eastAsia"/>
        </w:rPr>
        <w:t>同一種類の施設</w:t>
      </w:r>
      <w:r w:rsidRPr="00B15C0B">
        <w:rPr>
          <w:rFonts w:hint="eastAsia"/>
        </w:rPr>
        <w:t>に対して、</w:t>
      </w:r>
      <w:r w:rsidR="00563D8E">
        <w:rPr>
          <w:rFonts w:hint="eastAsia"/>
        </w:rPr>
        <w:t>改正</w:t>
      </w:r>
      <w:r w:rsidR="001947A0" w:rsidRPr="00B15C0B">
        <w:rPr>
          <w:rFonts w:hint="eastAsia"/>
        </w:rPr>
        <w:t>法対象規模の施設は一律の排出基準が適用されるが、条例対象</w:t>
      </w:r>
      <w:r w:rsidR="001947A0" w:rsidRPr="00B117D2">
        <w:rPr>
          <w:rFonts w:hint="eastAsia"/>
          <w:spacing w:val="-2"/>
        </w:rPr>
        <w:t>規模の施設は立地条件や煙突高さ等により算出された規制基準が適用されることとなる。</w:t>
      </w:r>
    </w:p>
    <w:p w:rsidR="00812A7E" w:rsidRPr="00812A7E" w:rsidRDefault="00CC7A9D" w:rsidP="00812A7E">
      <w:pPr>
        <w:ind w:leftChars="350" w:left="937" w:hangingChars="100" w:hanging="202"/>
        <w:rPr>
          <w:spacing w:val="-4"/>
        </w:rPr>
      </w:pPr>
      <w:r>
        <w:rPr>
          <w:rFonts w:hint="eastAsia"/>
          <w:spacing w:val="-4"/>
        </w:rPr>
        <w:t>・</w:t>
      </w:r>
      <w:r w:rsidR="00812A7E">
        <w:rPr>
          <w:rFonts w:hint="eastAsia"/>
          <w:spacing w:val="-4"/>
        </w:rPr>
        <w:t>他の有害物質では、法の規制対象</w:t>
      </w:r>
      <w:r w:rsidR="00563D8E">
        <w:rPr>
          <w:rFonts w:hint="eastAsia"/>
          <w:spacing w:val="-4"/>
        </w:rPr>
        <w:t>施設と同種類で規模未満の施設、</w:t>
      </w:r>
      <w:r w:rsidR="00812A7E" w:rsidRPr="00E25865">
        <w:rPr>
          <w:rFonts w:hint="eastAsia"/>
          <w:spacing w:val="-4"/>
        </w:rPr>
        <w:t>法の対象外となる施設</w:t>
      </w:r>
      <w:r w:rsidR="00812A7E">
        <w:rPr>
          <w:rFonts w:hint="eastAsia"/>
          <w:spacing w:val="-4"/>
        </w:rPr>
        <w:t>について条例の規制を適用している。</w:t>
      </w:r>
    </w:p>
    <w:p w:rsidR="00150C32" w:rsidRPr="00812A7E" w:rsidRDefault="00CC7A9D" w:rsidP="00150C32">
      <w:pPr>
        <w:ind w:leftChars="350" w:left="945" w:hangingChars="100" w:hanging="210"/>
        <w:rPr>
          <w:spacing w:val="2"/>
        </w:rPr>
      </w:pPr>
      <w:r w:rsidRPr="00B117D2">
        <w:rPr>
          <w:rFonts w:hint="eastAsia"/>
        </w:rPr>
        <w:t>・</w:t>
      </w:r>
      <w:r w:rsidRPr="00563D8E">
        <w:rPr>
          <w:rFonts w:hint="eastAsia"/>
        </w:rPr>
        <w:t>図１（２）の施設については、</w:t>
      </w:r>
      <w:r w:rsidR="00563D8E" w:rsidRPr="00563D8E">
        <w:rPr>
          <w:rFonts w:hint="eastAsia"/>
        </w:rPr>
        <w:t>改正</w:t>
      </w:r>
      <w:r w:rsidRPr="00563D8E">
        <w:rPr>
          <w:rFonts w:hint="eastAsia"/>
        </w:rPr>
        <w:t>法は裾切りをしても水俣条約の趣旨に沿ってこれを実行できるものとして対象外としている</w:t>
      </w:r>
      <w:r w:rsidR="008F4B24" w:rsidRPr="00563D8E">
        <w:rPr>
          <w:rFonts w:hint="eastAsia"/>
        </w:rPr>
        <w:t>。</w:t>
      </w:r>
    </w:p>
    <w:p w:rsidR="00812A7E" w:rsidRPr="00563D8E" w:rsidRDefault="00CC7A9D" w:rsidP="00812A7E">
      <w:pPr>
        <w:ind w:leftChars="350" w:left="945" w:hangingChars="100" w:hanging="210"/>
        <w:rPr>
          <w:spacing w:val="2"/>
        </w:rPr>
      </w:pPr>
      <w:r w:rsidRPr="00B117D2">
        <w:rPr>
          <w:rFonts w:hint="eastAsia"/>
        </w:rPr>
        <w:t>・</w:t>
      </w:r>
      <w:r w:rsidRPr="00A8188E">
        <w:rPr>
          <w:rFonts w:hint="eastAsia"/>
        </w:rPr>
        <w:t>図１（２）、（３）の施設については</w:t>
      </w:r>
      <w:r w:rsidR="00563D8E" w:rsidRPr="00A8188E">
        <w:rPr>
          <w:rFonts w:hint="eastAsia"/>
        </w:rPr>
        <w:t>改正</w:t>
      </w:r>
      <w:r w:rsidRPr="00A8188E">
        <w:rPr>
          <w:rFonts w:hint="eastAsia"/>
        </w:rPr>
        <w:t>法の対象外としており、</w:t>
      </w:r>
      <w:r w:rsidR="00A8188E" w:rsidRPr="00A8188E">
        <w:rPr>
          <w:rFonts w:hint="eastAsia"/>
        </w:rPr>
        <w:t>法</w:t>
      </w:r>
      <w:r w:rsidRPr="00A8188E">
        <w:rPr>
          <w:rFonts w:hint="eastAsia"/>
        </w:rPr>
        <w:t>の基準が設定されていない。</w:t>
      </w:r>
    </w:p>
    <w:p w:rsidR="00B117D2" w:rsidRPr="00812A7E" w:rsidRDefault="00B117D2" w:rsidP="00B117D2">
      <w:pPr>
        <w:ind w:left="315" w:hangingChars="150" w:hanging="315"/>
      </w:pPr>
    </w:p>
    <w:p w:rsidR="00150C32" w:rsidRPr="00092681" w:rsidRDefault="00092681" w:rsidP="00092681">
      <w:pPr>
        <w:ind w:firstLineChars="250" w:firstLine="525"/>
        <w:rPr>
          <w:rFonts w:asciiTheme="majorEastAsia" w:eastAsiaTheme="majorEastAsia" w:hAnsiTheme="majorEastAsia"/>
          <w:szCs w:val="18"/>
        </w:rPr>
      </w:pPr>
      <w:r>
        <w:rPr>
          <w:rFonts w:asciiTheme="majorEastAsia" w:eastAsiaTheme="majorEastAsia" w:hAnsiTheme="majorEastAsia" w:hint="eastAsia"/>
          <w:szCs w:val="18"/>
        </w:rPr>
        <w:t>②-2.</w:t>
      </w:r>
      <w:r w:rsidR="00CF095C" w:rsidRPr="00092681">
        <w:rPr>
          <w:rFonts w:asciiTheme="majorEastAsia" w:eastAsiaTheme="majorEastAsia" w:hAnsiTheme="majorEastAsia" w:hint="eastAsia"/>
          <w:szCs w:val="18"/>
        </w:rPr>
        <w:t>要排出抑制施設に対する条例の規制のあり方（図１（４））</w:t>
      </w:r>
    </w:p>
    <w:p w:rsidR="00150C32" w:rsidRPr="00812A7E" w:rsidRDefault="00346944" w:rsidP="00092681">
      <w:pPr>
        <w:spacing w:beforeLines="20" w:before="72"/>
        <w:ind w:leftChars="50" w:left="929" w:hangingChars="400" w:hanging="824"/>
        <w:rPr>
          <w:rFonts w:asciiTheme="minorEastAsia" w:hAnsiTheme="minorEastAsia"/>
          <w:szCs w:val="18"/>
        </w:rPr>
      </w:pPr>
      <w:r>
        <w:rPr>
          <w:rFonts w:asciiTheme="minorEastAsia" w:hAnsiTheme="minorEastAsia" w:hint="eastAsia"/>
          <w:spacing w:val="-2"/>
          <w:szCs w:val="18"/>
        </w:rPr>
        <w:t xml:space="preserve">　　　</w:t>
      </w:r>
      <w:r w:rsidR="00CF095C" w:rsidRPr="00B117D2">
        <w:rPr>
          <w:rFonts w:hint="eastAsia"/>
        </w:rPr>
        <w:t>・</w:t>
      </w:r>
      <w:r w:rsidR="00CF095C" w:rsidRPr="00812A7E">
        <w:rPr>
          <w:rFonts w:asciiTheme="minorEastAsia" w:hAnsiTheme="minorEastAsia" w:hint="eastAsia"/>
          <w:szCs w:val="18"/>
        </w:rPr>
        <w:t>改正法では、</w:t>
      </w:r>
      <w:r w:rsidR="00563D8E">
        <w:rPr>
          <w:rFonts w:asciiTheme="minorEastAsia" w:hAnsiTheme="minorEastAsia" w:hint="eastAsia"/>
          <w:szCs w:val="18"/>
        </w:rPr>
        <w:t>要排出抑制施設</w:t>
      </w:r>
      <w:r w:rsidR="00CF095C" w:rsidRPr="00812A7E">
        <w:rPr>
          <w:rFonts w:asciiTheme="minorEastAsia" w:hAnsiTheme="minorEastAsia" w:hint="eastAsia"/>
          <w:szCs w:val="18"/>
        </w:rPr>
        <w:t>に対して、排出抑制のための自主的</w:t>
      </w:r>
      <w:r w:rsidR="00563D8E">
        <w:rPr>
          <w:rFonts w:asciiTheme="minorEastAsia" w:hAnsiTheme="minorEastAsia" w:hint="eastAsia"/>
          <w:szCs w:val="18"/>
        </w:rPr>
        <w:t>な</w:t>
      </w:r>
      <w:r w:rsidR="00CF095C" w:rsidRPr="00812A7E">
        <w:rPr>
          <w:rFonts w:asciiTheme="minorEastAsia" w:hAnsiTheme="minorEastAsia" w:hint="eastAsia"/>
          <w:szCs w:val="18"/>
        </w:rPr>
        <w:t>取組を義務付けている。</w:t>
      </w:r>
    </w:p>
    <w:p w:rsidR="00150C32" w:rsidRDefault="00CF095C" w:rsidP="00A8188E">
      <w:pPr>
        <w:ind w:firstLineChars="350" w:firstLine="735"/>
        <w:rPr>
          <w:rFonts w:asciiTheme="majorEastAsia" w:eastAsiaTheme="majorEastAsia" w:hAnsiTheme="majorEastAsia"/>
        </w:rPr>
      </w:pPr>
      <w:r w:rsidRPr="00B117D2">
        <w:rPr>
          <w:rFonts w:asciiTheme="minorEastAsia" w:hAnsiTheme="minorEastAsia" w:hint="eastAsia"/>
        </w:rPr>
        <w:t>・要排出抑制施設は</w:t>
      </w:r>
      <w:r w:rsidR="00812A7E">
        <w:rPr>
          <w:rFonts w:asciiTheme="minorEastAsia" w:hAnsiTheme="minorEastAsia" w:hint="eastAsia"/>
        </w:rPr>
        <w:t>、</w:t>
      </w:r>
      <w:r w:rsidRPr="00B117D2">
        <w:rPr>
          <w:rFonts w:asciiTheme="minorEastAsia" w:hAnsiTheme="minorEastAsia" w:hint="eastAsia"/>
        </w:rPr>
        <w:t>府内に17施設所在する。</w:t>
      </w:r>
    </w:p>
    <w:p w:rsidR="00150C32" w:rsidRDefault="00CF095C" w:rsidP="00150C32">
      <w:pPr>
        <w:ind w:leftChars="350" w:left="945" w:hangingChars="100" w:hanging="210"/>
        <w:rPr>
          <w:rFonts w:asciiTheme="majorEastAsia" w:eastAsiaTheme="majorEastAsia" w:hAnsiTheme="majorEastAsia"/>
        </w:rPr>
      </w:pPr>
      <w:r w:rsidRPr="00B117D2">
        <w:rPr>
          <w:rFonts w:hint="eastAsia"/>
        </w:rPr>
        <w:t>・</w:t>
      </w:r>
      <w:r w:rsidRPr="00563D8E">
        <w:rPr>
          <w:rFonts w:hint="eastAsia"/>
        </w:rPr>
        <w:t>図１（４）の施設については、</w:t>
      </w:r>
      <w:r w:rsidR="00563D8E" w:rsidRPr="00563D8E">
        <w:rPr>
          <w:rFonts w:hint="eastAsia"/>
        </w:rPr>
        <w:t>改正</w:t>
      </w:r>
      <w:r w:rsidRPr="00563D8E">
        <w:rPr>
          <w:rFonts w:hint="eastAsia"/>
        </w:rPr>
        <w:t>法で排出基準を設定しなくても水俣条約の趣旨に沿ってこれを実行できるものとして</w:t>
      </w:r>
      <w:r w:rsidR="00BE226D" w:rsidRPr="00563D8E">
        <w:rPr>
          <w:rFonts w:hint="eastAsia"/>
        </w:rPr>
        <w:t>対象外としている</w:t>
      </w:r>
      <w:r w:rsidRPr="00563D8E">
        <w:rPr>
          <w:rFonts w:hint="eastAsia"/>
        </w:rPr>
        <w:t>。</w:t>
      </w:r>
    </w:p>
    <w:p w:rsidR="00CF095C" w:rsidRPr="00563D8E" w:rsidRDefault="00CF095C" w:rsidP="00150C32">
      <w:pPr>
        <w:ind w:leftChars="350" w:left="945" w:hangingChars="100" w:hanging="210"/>
        <w:rPr>
          <w:rFonts w:asciiTheme="majorEastAsia" w:eastAsiaTheme="majorEastAsia" w:hAnsiTheme="majorEastAsia"/>
          <w:spacing w:val="-8"/>
        </w:rPr>
      </w:pPr>
      <w:r w:rsidRPr="00B117D2">
        <w:rPr>
          <w:rFonts w:hint="eastAsia"/>
        </w:rPr>
        <w:t>・</w:t>
      </w:r>
      <w:r w:rsidRPr="00563D8E">
        <w:rPr>
          <w:rFonts w:hint="eastAsia"/>
          <w:spacing w:val="-8"/>
        </w:rPr>
        <w:t>図１（４）の施設については</w:t>
      </w:r>
      <w:r w:rsidR="00563D8E" w:rsidRPr="00563D8E">
        <w:rPr>
          <w:rFonts w:hint="eastAsia"/>
          <w:spacing w:val="-8"/>
        </w:rPr>
        <w:t>改正</w:t>
      </w:r>
      <w:r w:rsidRPr="00563D8E">
        <w:rPr>
          <w:rFonts w:hint="eastAsia"/>
          <w:spacing w:val="-8"/>
        </w:rPr>
        <w:t>法の対象外としており、</w:t>
      </w:r>
      <w:r w:rsidR="00A8188E">
        <w:rPr>
          <w:rFonts w:hint="eastAsia"/>
          <w:spacing w:val="-8"/>
        </w:rPr>
        <w:t>法</w:t>
      </w:r>
      <w:r w:rsidRPr="00563D8E">
        <w:rPr>
          <w:rFonts w:hint="eastAsia"/>
          <w:spacing w:val="-8"/>
        </w:rPr>
        <w:t>の基準が設定されていない。</w:t>
      </w:r>
    </w:p>
    <w:p w:rsidR="005C7EA5" w:rsidRDefault="005C7EA5" w:rsidP="005C7EA5">
      <w:pPr>
        <w:widowControl/>
        <w:rPr>
          <w:rFonts w:asciiTheme="minorEastAsia" w:hAnsiTheme="minorEastAsia"/>
          <w:szCs w:val="18"/>
        </w:rPr>
      </w:pPr>
    </w:p>
    <w:p w:rsidR="00023A49" w:rsidRPr="005C7EA5" w:rsidRDefault="00023A49" w:rsidP="005C7EA5">
      <w:pPr>
        <w:widowControl/>
        <w:rPr>
          <w:rFonts w:asciiTheme="minorEastAsia" w:hAnsiTheme="minorEastAsia"/>
          <w:szCs w:val="18"/>
        </w:rPr>
      </w:pPr>
    </w:p>
    <w:p w:rsidR="00CF095C" w:rsidRPr="00346944" w:rsidRDefault="005C7EA5" w:rsidP="005C7EA5">
      <w:pPr>
        <w:pStyle w:val="aa"/>
        <w:widowControl/>
        <w:numPr>
          <w:ilvl w:val="0"/>
          <w:numId w:val="30"/>
        </w:numPr>
        <w:ind w:leftChars="0"/>
        <w:rPr>
          <w:rFonts w:asciiTheme="majorEastAsia" w:eastAsiaTheme="majorEastAsia" w:hAnsiTheme="majorEastAsia"/>
          <w:spacing w:val="2"/>
          <w:szCs w:val="18"/>
        </w:rPr>
      </w:pPr>
      <w:r>
        <w:rPr>
          <w:rFonts w:asciiTheme="majorEastAsia" w:eastAsiaTheme="majorEastAsia" w:hAnsiTheme="majorEastAsia" w:hint="eastAsia"/>
          <w:spacing w:val="-4"/>
        </w:rPr>
        <w:t>水</w:t>
      </w:r>
      <w:r w:rsidR="008E25DD" w:rsidRPr="00346944">
        <w:rPr>
          <w:rFonts w:asciiTheme="majorEastAsia" w:eastAsiaTheme="majorEastAsia" w:hAnsiTheme="majorEastAsia" w:hint="eastAsia"/>
          <w:spacing w:val="2"/>
          <w:szCs w:val="18"/>
        </w:rPr>
        <w:t>銀排出濃度の測定方法について</w:t>
      </w:r>
    </w:p>
    <w:p w:rsidR="008E25DD" w:rsidRPr="008E25DD" w:rsidRDefault="005A2673" w:rsidP="00D614C3">
      <w:pPr>
        <w:pStyle w:val="aa"/>
        <w:widowControl/>
        <w:numPr>
          <w:ilvl w:val="1"/>
          <w:numId w:val="30"/>
        </w:numPr>
        <w:ind w:leftChars="0"/>
        <w:rPr>
          <w:rFonts w:asciiTheme="majorEastAsia" w:eastAsiaTheme="majorEastAsia" w:hAnsiTheme="majorEastAsia"/>
          <w:spacing w:val="2"/>
          <w:szCs w:val="18"/>
        </w:rPr>
      </w:pPr>
      <w:r>
        <w:rPr>
          <w:rFonts w:asciiTheme="majorEastAsia" w:eastAsiaTheme="majorEastAsia" w:hAnsiTheme="majorEastAsia" w:hint="eastAsia"/>
          <w:spacing w:val="2"/>
          <w:szCs w:val="18"/>
        </w:rPr>
        <w:t>条例による水銀の測定方法のあり方について</w:t>
      </w:r>
    </w:p>
    <w:p w:rsidR="00BE226D" w:rsidRPr="00BE226D" w:rsidRDefault="00BE226D" w:rsidP="00BE226D">
      <w:pPr>
        <w:ind w:leftChars="350" w:left="945" w:hangingChars="100" w:hanging="210"/>
        <w:rPr>
          <w:rFonts w:asciiTheme="minorEastAsia" w:hAnsiTheme="minorEastAsia"/>
        </w:rPr>
      </w:pPr>
      <w:r w:rsidRPr="00B117D2">
        <w:rPr>
          <w:rFonts w:asciiTheme="minorEastAsia" w:hAnsiTheme="minorEastAsia" w:hint="eastAsia"/>
        </w:rPr>
        <w:t>・条例</w:t>
      </w:r>
      <w:r w:rsidR="00B15C0B">
        <w:rPr>
          <w:rFonts w:asciiTheme="minorEastAsia" w:hAnsiTheme="minorEastAsia" w:hint="eastAsia"/>
        </w:rPr>
        <w:t>施行以降、条例の水銀規制については</w:t>
      </w:r>
      <w:r w:rsidRPr="00B117D2">
        <w:rPr>
          <w:rFonts w:asciiTheme="minorEastAsia" w:hAnsiTheme="minorEastAsia" w:hint="eastAsia"/>
        </w:rPr>
        <w:t>ガス状水銀のみを測定</w:t>
      </w:r>
      <w:r w:rsidR="00B15C0B">
        <w:rPr>
          <w:rFonts w:asciiTheme="minorEastAsia" w:hAnsiTheme="minorEastAsia" w:hint="eastAsia"/>
        </w:rPr>
        <w:t>対象とし、その結果をもって排出基準の適否を判断している</w:t>
      </w:r>
      <w:r w:rsidRPr="00B117D2">
        <w:rPr>
          <w:rFonts w:asciiTheme="minorEastAsia" w:hAnsiTheme="minorEastAsia" w:hint="eastAsia"/>
        </w:rPr>
        <w:t>。</w:t>
      </w:r>
    </w:p>
    <w:p w:rsidR="008E25DD" w:rsidRPr="00683368" w:rsidRDefault="0093538F" w:rsidP="00BE226D">
      <w:pPr>
        <w:ind w:firstLineChars="300" w:firstLine="618"/>
        <w:rPr>
          <w:rFonts w:asciiTheme="majorEastAsia" w:eastAsiaTheme="majorEastAsia" w:hAnsiTheme="majorEastAsia"/>
        </w:rPr>
      </w:pPr>
      <w:r>
        <w:rPr>
          <w:rFonts w:asciiTheme="minorEastAsia" w:hAnsiTheme="minorEastAsia" w:hint="eastAsia"/>
          <w:spacing w:val="-2"/>
          <w:szCs w:val="18"/>
        </w:rPr>
        <w:t xml:space="preserve"> </w:t>
      </w:r>
      <w:r w:rsidR="00D614C3">
        <w:rPr>
          <w:rFonts w:asciiTheme="minorEastAsia" w:hAnsiTheme="minorEastAsia" w:hint="eastAsia"/>
        </w:rPr>
        <w:t>・</w:t>
      </w:r>
      <w:r w:rsidR="00563D8E" w:rsidRPr="00563D8E">
        <w:rPr>
          <w:rFonts w:asciiTheme="minorEastAsia" w:hAnsiTheme="minorEastAsia" w:hint="eastAsia"/>
          <w:spacing w:val="-4"/>
        </w:rPr>
        <w:t>改正</w:t>
      </w:r>
      <w:r w:rsidR="00346944" w:rsidRPr="00563D8E">
        <w:rPr>
          <w:rFonts w:asciiTheme="minorEastAsia" w:hAnsiTheme="minorEastAsia" w:hint="eastAsia"/>
          <w:spacing w:val="-4"/>
        </w:rPr>
        <w:t>法では、以下の理由により全水銀(</w:t>
      </w:r>
      <w:r w:rsidR="008E25DD" w:rsidRPr="00563D8E">
        <w:rPr>
          <w:rFonts w:asciiTheme="minorEastAsia" w:hAnsiTheme="minorEastAsia" w:hint="eastAsia"/>
          <w:spacing w:val="-4"/>
        </w:rPr>
        <w:t>ガス状水銀＋粒子状水銀</w:t>
      </w:r>
      <w:r w:rsidR="00346944" w:rsidRPr="00563D8E">
        <w:rPr>
          <w:rFonts w:asciiTheme="minorEastAsia" w:hAnsiTheme="minorEastAsia" w:hint="eastAsia"/>
          <w:spacing w:val="-4"/>
        </w:rPr>
        <w:t>)</w:t>
      </w:r>
      <w:r w:rsidR="008E25DD" w:rsidRPr="00563D8E">
        <w:rPr>
          <w:rFonts w:asciiTheme="minorEastAsia" w:hAnsiTheme="minorEastAsia" w:hint="eastAsia"/>
          <w:spacing w:val="-4"/>
        </w:rPr>
        <w:t>を測定対象としている。</w:t>
      </w:r>
    </w:p>
    <w:p w:rsidR="008E25DD" w:rsidRPr="00B117D2" w:rsidRDefault="008E25DD" w:rsidP="00BE226D">
      <w:pPr>
        <w:ind w:leftChars="550" w:left="1155"/>
        <w:rPr>
          <w:rFonts w:asciiTheme="minorEastAsia" w:hAnsiTheme="minorEastAsia"/>
        </w:rPr>
      </w:pPr>
      <w:r w:rsidRPr="00B117D2">
        <w:rPr>
          <w:rFonts w:asciiTheme="minorEastAsia" w:hAnsiTheme="minorEastAsia" w:hint="eastAsia"/>
        </w:rPr>
        <w:t>欧米の測定方法が全水銀を対象としており、諸外国との水銀排出データと比較検証可能な測定対象となることが望ましい。</w:t>
      </w:r>
    </w:p>
    <w:p w:rsidR="008E25DD" w:rsidRPr="00B117D2" w:rsidRDefault="008E25DD" w:rsidP="0093538F">
      <w:pPr>
        <w:ind w:leftChars="550" w:left="1155"/>
        <w:rPr>
          <w:rFonts w:asciiTheme="minorEastAsia" w:hAnsiTheme="minorEastAsia"/>
        </w:rPr>
      </w:pPr>
      <w:r w:rsidRPr="00B117D2">
        <w:rPr>
          <w:rFonts w:asciiTheme="minorEastAsia" w:hAnsiTheme="minorEastAsia" w:hint="eastAsia"/>
        </w:rPr>
        <w:t>水銀排出実態調査の結果において、一部の施設で粒子状水銀がガス状水銀と同程度排出されている。</w:t>
      </w:r>
    </w:p>
    <w:p w:rsidR="008E25DD" w:rsidRPr="00B15C0B" w:rsidRDefault="008E25DD" w:rsidP="00B15C0B">
      <w:pPr>
        <w:ind w:leftChars="450" w:left="945"/>
        <w:rPr>
          <w:rFonts w:asciiTheme="minorEastAsia" w:hAnsiTheme="minorEastAsia"/>
          <w:spacing w:val="-2"/>
        </w:rPr>
      </w:pPr>
      <w:r w:rsidRPr="00BE226D">
        <w:rPr>
          <w:rFonts w:asciiTheme="minorEastAsia" w:hAnsiTheme="minorEastAsia" w:hint="eastAsia"/>
        </w:rPr>
        <w:t>ただし、事業者の負担を軽減する観点から、排ガス中の全水銀に占める粒子状水銀が一定量以下であることが確認された場合、ガス状水銀のみの測定結果をもって全水銀の測定結果に代えることができることとしている。</w:t>
      </w:r>
    </w:p>
    <w:p w:rsidR="00346944" w:rsidRDefault="00B15C0B" w:rsidP="00B15C0B">
      <w:pPr>
        <w:ind w:leftChars="350" w:left="945" w:hangingChars="100" w:hanging="210"/>
      </w:pPr>
      <w:r>
        <w:rPr>
          <w:rFonts w:hint="eastAsia"/>
        </w:rPr>
        <w:t>・条例における水銀の</w:t>
      </w:r>
      <w:r w:rsidR="005A2673">
        <w:rPr>
          <w:rFonts w:hint="eastAsia"/>
        </w:rPr>
        <w:t>排出基準は、</w:t>
      </w:r>
      <w:r w:rsidR="00861E07">
        <w:rPr>
          <w:rFonts w:hint="eastAsia"/>
        </w:rPr>
        <w:t>有害物質ごとに一定の安全率を考慮した係数により算出される。</w:t>
      </w:r>
    </w:p>
    <w:p w:rsidR="00B15C0B" w:rsidRDefault="00B15C0B" w:rsidP="00B15C0B">
      <w:pPr>
        <w:ind w:leftChars="340" w:left="1029" w:hangingChars="150" w:hanging="315"/>
      </w:pPr>
      <w:bookmarkStart w:id="0" w:name="_GoBack"/>
      <w:bookmarkEnd w:id="0"/>
    </w:p>
    <w:p w:rsidR="00023A49" w:rsidRDefault="00023A49" w:rsidP="00B15C0B">
      <w:pPr>
        <w:ind w:leftChars="340" w:left="1029" w:hangingChars="150" w:hanging="315"/>
      </w:pPr>
    </w:p>
    <w:p w:rsidR="00B117D2" w:rsidRPr="00081545" w:rsidRDefault="00B117D2" w:rsidP="00D614C3">
      <w:pPr>
        <w:ind w:left="315" w:hangingChars="150" w:hanging="315"/>
      </w:pPr>
    </w:p>
    <w:p w:rsidR="005A2673" w:rsidRPr="008E25DD" w:rsidRDefault="005A2673" w:rsidP="005A2673">
      <w:pPr>
        <w:pStyle w:val="aa"/>
        <w:widowControl/>
        <w:numPr>
          <w:ilvl w:val="1"/>
          <w:numId w:val="30"/>
        </w:numPr>
        <w:ind w:leftChars="0"/>
        <w:rPr>
          <w:rFonts w:asciiTheme="majorEastAsia" w:eastAsiaTheme="majorEastAsia" w:hAnsiTheme="majorEastAsia"/>
          <w:spacing w:val="2"/>
          <w:szCs w:val="18"/>
        </w:rPr>
      </w:pPr>
      <w:r w:rsidRPr="005A2673">
        <w:rPr>
          <w:rFonts w:asciiTheme="majorEastAsia" w:eastAsiaTheme="majorEastAsia" w:hAnsiTheme="majorEastAsia" w:hint="eastAsia"/>
          <w:spacing w:val="2"/>
          <w:szCs w:val="18"/>
        </w:rPr>
        <w:t>条例による水銀の測定結果の確認方法</w:t>
      </w:r>
      <w:r w:rsidR="00081545">
        <w:rPr>
          <w:rFonts w:asciiTheme="majorEastAsia" w:eastAsiaTheme="majorEastAsia" w:hAnsiTheme="majorEastAsia" w:hint="eastAsia"/>
          <w:spacing w:val="2"/>
          <w:szCs w:val="18"/>
        </w:rPr>
        <w:t>及び排出基準超過時の対応</w:t>
      </w:r>
      <w:r>
        <w:rPr>
          <w:rFonts w:asciiTheme="majorEastAsia" w:eastAsiaTheme="majorEastAsia" w:hAnsiTheme="majorEastAsia" w:hint="eastAsia"/>
          <w:spacing w:val="2"/>
          <w:szCs w:val="18"/>
        </w:rPr>
        <w:t>のあり方について</w:t>
      </w:r>
    </w:p>
    <w:p w:rsidR="00081545" w:rsidRDefault="00081545" w:rsidP="00081545">
      <w:pPr>
        <w:ind w:leftChars="350" w:left="945" w:hangingChars="100" w:hanging="210"/>
        <w:rPr>
          <w:rFonts w:asciiTheme="minorEastAsia" w:hAnsiTheme="minorEastAsia"/>
          <w:spacing w:val="-2"/>
        </w:rPr>
      </w:pPr>
      <w:r>
        <w:rPr>
          <w:rFonts w:asciiTheme="minorEastAsia" w:hAnsiTheme="minorEastAsia" w:hint="eastAsia"/>
        </w:rPr>
        <w:t>・条例では１回の測定結果により判断することとし、排出基準に適合しない有害物質を</w:t>
      </w:r>
      <w:r w:rsidRPr="00081545">
        <w:rPr>
          <w:rFonts w:asciiTheme="minorEastAsia" w:hAnsiTheme="minorEastAsia" w:hint="eastAsia"/>
          <w:spacing w:val="-2"/>
        </w:rPr>
        <w:t>排出した場合、直ちに罰則が適用される。</w:t>
      </w:r>
    </w:p>
    <w:p w:rsidR="00FD006F" w:rsidRPr="00FD006F" w:rsidRDefault="00FD006F" w:rsidP="00FD006F">
      <w:pPr>
        <w:ind w:leftChars="350" w:left="945" w:hangingChars="100" w:hanging="210"/>
      </w:pPr>
      <w:r>
        <w:rPr>
          <w:rFonts w:asciiTheme="minorEastAsia" w:hAnsiTheme="minorEastAsia" w:hint="eastAsia"/>
        </w:rPr>
        <w:t>・条例は</w:t>
      </w:r>
      <w:r w:rsidRPr="00B117D2">
        <w:rPr>
          <w:rFonts w:asciiTheme="minorEastAsia" w:hAnsiTheme="minorEastAsia" w:hint="eastAsia"/>
        </w:rPr>
        <w:t>、</w:t>
      </w:r>
      <w:r>
        <w:rPr>
          <w:rFonts w:asciiTheme="minorEastAsia" w:hAnsiTheme="minorEastAsia" w:hint="eastAsia"/>
        </w:rPr>
        <w:t>水銀の排出基準が周辺住民の吸入暴露による健康被害の防止の観点から設定されたものであることから直罰を適用している。法の有害物質や条例の他の有害物質と同様の対応を行っている</w:t>
      </w:r>
      <w:r w:rsidRPr="00B117D2">
        <w:rPr>
          <w:rFonts w:asciiTheme="minorEastAsia" w:hAnsiTheme="minorEastAsia" w:hint="eastAsia"/>
        </w:rPr>
        <w:t>。</w:t>
      </w:r>
    </w:p>
    <w:p w:rsidR="005A2673" w:rsidRPr="00563D8E" w:rsidRDefault="005A2673" w:rsidP="00081545">
      <w:pPr>
        <w:ind w:leftChars="350" w:left="945" w:hangingChars="100" w:hanging="210"/>
        <w:rPr>
          <w:rFonts w:asciiTheme="minorEastAsia" w:hAnsiTheme="minorEastAsia"/>
          <w:spacing w:val="-2"/>
        </w:rPr>
      </w:pPr>
      <w:r w:rsidRPr="005A2673">
        <w:rPr>
          <w:rFonts w:asciiTheme="minorEastAsia" w:hAnsiTheme="minorEastAsia" w:hint="eastAsia"/>
        </w:rPr>
        <w:t>・</w:t>
      </w:r>
      <w:r w:rsidR="00563D8E" w:rsidRPr="00563D8E">
        <w:rPr>
          <w:rFonts w:asciiTheme="minorEastAsia" w:hAnsiTheme="minorEastAsia" w:hint="eastAsia"/>
        </w:rPr>
        <w:t>改正</w:t>
      </w:r>
      <w:r w:rsidR="00081545" w:rsidRPr="00563D8E">
        <w:rPr>
          <w:rFonts w:asciiTheme="minorEastAsia" w:hAnsiTheme="minorEastAsia" w:hint="eastAsia"/>
        </w:rPr>
        <w:t>法では、排出基準を上回る水銀濃度が検出された場合</w:t>
      </w:r>
      <w:r w:rsidRPr="00563D8E">
        <w:rPr>
          <w:rFonts w:asciiTheme="minorEastAsia" w:hAnsiTheme="minorEastAsia" w:hint="eastAsia"/>
        </w:rPr>
        <w:t>、水銀排出施設の稼動条件</w:t>
      </w:r>
      <w:r w:rsidRPr="00563D8E">
        <w:rPr>
          <w:rFonts w:asciiTheme="minorEastAsia" w:hAnsiTheme="minorEastAsia" w:hint="eastAsia"/>
          <w:spacing w:val="-2"/>
        </w:rPr>
        <w:t>を一定に保った上で、速やかに計３回以上の再測定を実施し、初回の測定結果を含めた計４つ以上の測定結果のうち、最大値及び最小値を除く全ての測定結果の平均値により評価することとしている。</w:t>
      </w:r>
    </w:p>
    <w:p w:rsidR="00FD006F" w:rsidRPr="00563D8E" w:rsidRDefault="00FD006F" w:rsidP="00FD006F">
      <w:pPr>
        <w:ind w:leftChars="350" w:left="941" w:hangingChars="100" w:hanging="206"/>
        <w:rPr>
          <w:rFonts w:asciiTheme="minorEastAsia" w:hAnsiTheme="minorEastAsia"/>
          <w:spacing w:val="-4"/>
        </w:rPr>
      </w:pPr>
      <w:r>
        <w:rPr>
          <w:rFonts w:asciiTheme="minorEastAsia" w:hAnsiTheme="minorEastAsia" w:hint="eastAsia"/>
          <w:spacing w:val="-2"/>
        </w:rPr>
        <w:t>・</w:t>
      </w:r>
      <w:r w:rsidR="00563D8E" w:rsidRPr="00563D8E">
        <w:rPr>
          <w:rFonts w:asciiTheme="minorEastAsia" w:hAnsiTheme="minorEastAsia" w:hint="eastAsia"/>
        </w:rPr>
        <w:t>改正</w:t>
      </w:r>
      <w:r w:rsidRPr="00563D8E">
        <w:rPr>
          <w:rFonts w:asciiTheme="minorEastAsia" w:hAnsiTheme="minorEastAsia" w:hint="eastAsia"/>
        </w:rPr>
        <w:t>法では、排出基準に適合しない水銀等を継続して大気中に排出する場合、知事が</w:t>
      </w:r>
      <w:r w:rsidRPr="00563D8E">
        <w:rPr>
          <w:rFonts w:asciiTheme="minorEastAsia" w:hAnsiTheme="minorEastAsia" w:hint="eastAsia"/>
          <w:spacing w:val="-4"/>
        </w:rPr>
        <w:t>改善を勧告し、これに従わない場合、期限を定めて、措置を命ずることができる。さらにこの命令に従わない場合、罰則が適用される。</w:t>
      </w:r>
    </w:p>
    <w:p w:rsidR="005A2673" w:rsidRPr="00FD006F" w:rsidRDefault="005A2673" w:rsidP="00FD006F">
      <w:pPr>
        <w:ind w:leftChars="350" w:left="945" w:hangingChars="100" w:hanging="210"/>
        <w:rPr>
          <w:spacing w:val="-2"/>
        </w:rPr>
      </w:pPr>
      <w:r w:rsidRPr="00B117D2">
        <w:rPr>
          <w:rFonts w:hint="eastAsia"/>
        </w:rPr>
        <w:t>・</w:t>
      </w:r>
      <w:r w:rsidR="00563D8E">
        <w:rPr>
          <w:rFonts w:hint="eastAsia"/>
        </w:rPr>
        <w:t>改正</w:t>
      </w:r>
      <w:r w:rsidRPr="00FD006F">
        <w:rPr>
          <w:rFonts w:asciiTheme="minorEastAsia" w:hAnsiTheme="minorEastAsia" w:hint="eastAsia"/>
          <w:spacing w:val="-2"/>
        </w:rPr>
        <w:t>法の</w:t>
      </w:r>
      <w:r w:rsidR="00563D8E">
        <w:rPr>
          <w:rFonts w:asciiTheme="minorEastAsia" w:hAnsiTheme="minorEastAsia" w:hint="eastAsia"/>
          <w:spacing w:val="-2"/>
        </w:rPr>
        <w:t>排出基準</w:t>
      </w:r>
      <w:r w:rsidRPr="00FD006F">
        <w:rPr>
          <w:rFonts w:asciiTheme="minorEastAsia" w:hAnsiTheme="minorEastAsia" w:hint="eastAsia"/>
          <w:spacing w:val="-2"/>
        </w:rPr>
        <w:t>は、測定結果に一定の濃度変動が内在することに留意し、対象施設に</w:t>
      </w:r>
      <w:r w:rsidRPr="00FC4323">
        <w:rPr>
          <w:rFonts w:asciiTheme="minorEastAsia" w:hAnsiTheme="minorEastAsia" w:hint="eastAsia"/>
        </w:rPr>
        <w:t>おいて一度でも超えてはならない水準として設定するものではなく、平常時における平均的な排出状況として、達成し得る水準として設定している。</w:t>
      </w:r>
    </w:p>
    <w:p w:rsidR="00E55BB5" w:rsidRDefault="00E55BB5" w:rsidP="0093538F">
      <w:pPr>
        <w:ind w:leftChars="300" w:left="735" w:hangingChars="50" w:hanging="105"/>
        <w:rPr>
          <w:rFonts w:asciiTheme="minorEastAsia" w:hAnsiTheme="minorEastAsia"/>
        </w:rPr>
      </w:pPr>
    </w:p>
    <w:p w:rsidR="00E55BB5" w:rsidRPr="00E55BB5" w:rsidRDefault="00E55BB5" w:rsidP="0093538F">
      <w:pPr>
        <w:ind w:leftChars="300" w:left="735" w:hangingChars="50" w:hanging="105"/>
        <w:rPr>
          <w:rFonts w:asciiTheme="minorEastAsia" w:hAnsiTheme="minorEastAsia"/>
        </w:rPr>
      </w:pPr>
    </w:p>
    <w:sectPr w:rsidR="00E55BB5" w:rsidRPr="00E55BB5" w:rsidSect="006C3FE1">
      <w:footerReference w:type="default" r:id="rId10"/>
      <w:pgSz w:w="11906" w:h="16838"/>
      <w:pgMar w:top="1418" w:right="1276" w:bottom="1134"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D7" w:rsidRDefault="00CE05D7" w:rsidP="00F269BA">
      <w:r>
        <w:separator/>
      </w:r>
    </w:p>
  </w:endnote>
  <w:endnote w:type="continuationSeparator" w:id="0">
    <w:p w:rsidR="00CE05D7" w:rsidRDefault="00CE05D7"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71392"/>
      <w:docPartObj>
        <w:docPartGallery w:val="Page Numbers (Bottom of Page)"/>
        <w:docPartUnique/>
      </w:docPartObj>
    </w:sdtPr>
    <w:sdtEndPr/>
    <w:sdtContent>
      <w:p w:rsidR="00124B9A" w:rsidRDefault="00124B9A" w:rsidP="00C45843">
        <w:pPr>
          <w:pStyle w:val="a8"/>
          <w:jc w:val="center"/>
        </w:pPr>
        <w:r>
          <w:fldChar w:fldCharType="begin"/>
        </w:r>
        <w:r>
          <w:instrText>PAGE   \* MERGEFORMAT</w:instrText>
        </w:r>
        <w:r>
          <w:fldChar w:fldCharType="separate"/>
        </w:r>
        <w:r w:rsidR="00861E07" w:rsidRPr="00861E07">
          <w:rPr>
            <w:noProof/>
            <w:lang w:val="ja-JP"/>
          </w:rPr>
          <w:t>2</w:t>
        </w:r>
        <w:r>
          <w:fldChar w:fldCharType="end"/>
        </w:r>
      </w:p>
    </w:sdtContent>
  </w:sdt>
  <w:p w:rsidR="00124B9A" w:rsidRDefault="00124B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D7" w:rsidRDefault="00CE05D7" w:rsidP="00F269BA">
      <w:r>
        <w:separator/>
      </w:r>
    </w:p>
  </w:footnote>
  <w:footnote w:type="continuationSeparator" w:id="0">
    <w:p w:rsidR="00CE05D7" w:rsidRDefault="00CE05D7" w:rsidP="00F26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671"/>
    <w:multiLevelType w:val="hybridMultilevel"/>
    <w:tmpl w:val="AEB28E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3B7C11"/>
    <w:multiLevelType w:val="hybridMultilevel"/>
    <w:tmpl w:val="6632E10A"/>
    <w:lvl w:ilvl="0" w:tplc="E1D684CC">
      <w:start w:val="1"/>
      <w:numFmt w:val="decimalFullWidth"/>
      <w:lvlText w:val="（%1）"/>
      <w:lvlJc w:val="left"/>
      <w:pPr>
        <w:ind w:left="827" w:hanging="720"/>
      </w:pPr>
      <w:rPr>
        <w:rFonts w:asciiTheme="majorEastAsia" w:eastAsiaTheme="majorEastAsia" w:hAnsiTheme="majorEastAsia" w:hint="default"/>
        <w:lang w:val="en-US"/>
      </w:rPr>
    </w:lvl>
    <w:lvl w:ilvl="1" w:tplc="C860A7E4">
      <w:start w:val="1"/>
      <w:numFmt w:val="decimalEnclosedCircle"/>
      <w:lvlText w:val="%2"/>
      <w:lvlJc w:val="left"/>
      <w:pPr>
        <w:ind w:left="887" w:hanging="360"/>
      </w:pPr>
      <w:rPr>
        <w:rFonts w:hint="default"/>
      </w:r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nsid w:val="0E726834"/>
    <w:multiLevelType w:val="hybridMultilevel"/>
    <w:tmpl w:val="A32449D6"/>
    <w:lvl w:ilvl="0" w:tplc="90102BC6">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15587686"/>
    <w:multiLevelType w:val="hybridMultilevel"/>
    <w:tmpl w:val="4E42B35C"/>
    <w:lvl w:ilvl="0" w:tplc="64C8B076">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165C07D4"/>
    <w:multiLevelType w:val="hybridMultilevel"/>
    <w:tmpl w:val="569AE72C"/>
    <w:lvl w:ilvl="0" w:tplc="B84A929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1C6912DF"/>
    <w:multiLevelType w:val="hybridMultilevel"/>
    <w:tmpl w:val="7A42B30E"/>
    <w:lvl w:ilvl="0" w:tplc="658413E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662064"/>
    <w:multiLevelType w:val="hybridMultilevel"/>
    <w:tmpl w:val="92321ED4"/>
    <w:lvl w:ilvl="0" w:tplc="9B5CA04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312B6AB1"/>
    <w:multiLevelType w:val="hybridMultilevel"/>
    <w:tmpl w:val="04D4A264"/>
    <w:lvl w:ilvl="0" w:tplc="7F5ECF0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33AE56EF"/>
    <w:multiLevelType w:val="hybridMultilevel"/>
    <w:tmpl w:val="9D22BEBE"/>
    <w:lvl w:ilvl="0" w:tplc="856E683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34D22B70"/>
    <w:multiLevelType w:val="hybridMultilevel"/>
    <w:tmpl w:val="CB4E2E30"/>
    <w:lvl w:ilvl="0" w:tplc="B1800EBE">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nsid w:val="35C75264"/>
    <w:multiLevelType w:val="hybridMultilevel"/>
    <w:tmpl w:val="53FA0934"/>
    <w:lvl w:ilvl="0" w:tplc="8C482D9E">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nsid w:val="38426C9A"/>
    <w:multiLevelType w:val="hybridMultilevel"/>
    <w:tmpl w:val="E932C75A"/>
    <w:lvl w:ilvl="0" w:tplc="44A25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6106D9"/>
    <w:multiLevelType w:val="hybridMultilevel"/>
    <w:tmpl w:val="CACC9EE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3A580B67"/>
    <w:multiLevelType w:val="hybridMultilevel"/>
    <w:tmpl w:val="32042EE6"/>
    <w:lvl w:ilvl="0" w:tplc="C860A7E4">
      <w:start w:val="1"/>
      <w:numFmt w:val="decimalEnclosedCircle"/>
      <w:lvlText w:val="%1"/>
      <w:lvlJc w:val="left"/>
      <w:pPr>
        <w:ind w:left="88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E05051D"/>
    <w:multiLevelType w:val="hybridMultilevel"/>
    <w:tmpl w:val="AA84F7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3E7B31AD"/>
    <w:multiLevelType w:val="hybridMultilevel"/>
    <w:tmpl w:val="5EE4DD16"/>
    <w:lvl w:ilvl="0" w:tplc="81EEE48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4042638D"/>
    <w:multiLevelType w:val="hybridMultilevel"/>
    <w:tmpl w:val="B1082FE8"/>
    <w:lvl w:ilvl="0" w:tplc="1C6E1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E64C80"/>
    <w:multiLevelType w:val="hybridMultilevel"/>
    <w:tmpl w:val="B8AE7BEE"/>
    <w:lvl w:ilvl="0" w:tplc="AC0E1FD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516C5A8E"/>
    <w:multiLevelType w:val="hybridMultilevel"/>
    <w:tmpl w:val="645EDB1A"/>
    <w:lvl w:ilvl="0" w:tplc="B1800EBE">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nsid w:val="5260066E"/>
    <w:multiLevelType w:val="hybridMultilevel"/>
    <w:tmpl w:val="745087F2"/>
    <w:lvl w:ilvl="0" w:tplc="372E396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CE7516"/>
    <w:multiLevelType w:val="hybridMultilevel"/>
    <w:tmpl w:val="D5281730"/>
    <w:lvl w:ilvl="0" w:tplc="43DEE7CC">
      <w:start w:val="1"/>
      <w:numFmt w:val="decimalEnclosedCircle"/>
      <w:lvlText w:val="%1"/>
      <w:lvlJc w:val="left"/>
      <w:pPr>
        <w:ind w:left="360" w:hanging="360"/>
      </w:pPr>
      <w:rPr>
        <w:rFonts w:hint="default"/>
      </w:rPr>
    </w:lvl>
    <w:lvl w:ilvl="1" w:tplc="F81831D4">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A6C285E"/>
    <w:multiLevelType w:val="hybridMultilevel"/>
    <w:tmpl w:val="ECCCEA70"/>
    <w:lvl w:ilvl="0" w:tplc="9F1445CA">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3">
    <w:nsid w:val="5DE3221E"/>
    <w:multiLevelType w:val="hybridMultilevel"/>
    <w:tmpl w:val="FC084670"/>
    <w:lvl w:ilvl="0" w:tplc="B1800EBE">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4">
    <w:nsid w:val="5E116A1C"/>
    <w:multiLevelType w:val="hybridMultilevel"/>
    <w:tmpl w:val="DB4481FE"/>
    <w:lvl w:ilvl="0" w:tplc="5D2CC3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F9A5490"/>
    <w:multiLevelType w:val="hybridMultilevel"/>
    <w:tmpl w:val="CF8607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60962E06"/>
    <w:multiLevelType w:val="hybridMultilevel"/>
    <w:tmpl w:val="FF4A5360"/>
    <w:lvl w:ilvl="0" w:tplc="EBB654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3916E97"/>
    <w:multiLevelType w:val="hybridMultilevel"/>
    <w:tmpl w:val="704A6238"/>
    <w:lvl w:ilvl="0" w:tplc="0409000B">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777A5E4D"/>
    <w:multiLevelType w:val="hybridMultilevel"/>
    <w:tmpl w:val="3E8E3C2C"/>
    <w:lvl w:ilvl="0" w:tplc="C2DE5A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7B640EF1"/>
    <w:multiLevelType w:val="hybridMultilevel"/>
    <w:tmpl w:val="4E42B35C"/>
    <w:lvl w:ilvl="0" w:tplc="64C8B076">
      <w:start w:val="1"/>
      <w:numFmt w:val="decimalFullWidth"/>
      <w:lvlText w:val="（%1）"/>
      <w:lvlJc w:val="left"/>
      <w:pPr>
        <w:ind w:left="840" w:hanging="720"/>
      </w:pPr>
      <w:rPr>
        <w:rFonts w:hint="default"/>
        <w:sz w:val="21"/>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0">
    <w:nsid w:val="7CE36448"/>
    <w:multiLevelType w:val="hybridMultilevel"/>
    <w:tmpl w:val="11D0C2E2"/>
    <w:lvl w:ilvl="0" w:tplc="E6889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FEB266F"/>
    <w:multiLevelType w:val="hybridMultilevel"/>
    <w:tmpl w:val="CBEA82F2"/>
    <w:lvl w:ilvl="0" w:tplc="AC4433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1"/>
  </w:num>
  <w:num w:numId="4">
    <w:abstractNumId w:val="24"/>
  </w:num>
  <w:num w:numId="5">
    <w:abstractNumId w:val="21"/>
  </w:num>
  <w:num w:numId="6">
    <w:abstractNumId w:val="22"/>
  </w:num>
  <w:num w:numId="7">
    <w:abstractNumId w:val="4"/>
  </w:num>
  <w:num w:numId="8">
    <w:abstractNumId w:val="30"/>
  </w:num>
  <w:num w:numId="9">
    <w:abstractNumId w:val="17"/>
  </w:num>
  <w:num w:numId="10">
    <w:abstractNumId w:val="7"/>
  </w:num>
  <w:num w:numId="11">
    <w:abstractNumId w:val="8"/>
  </w:num>
  <w:num w:numId="12">
    <w:abstractNumId w:val="5"/>
  </w:num>
  <w:num w:numId="13">
    <w:abstractNumId w:val="6"/>
  </w:num>
  <w:num w:numId="14">
    <w:abstractNumId w:val="20"/>
  </w:num>
  <w:num w:numId="15">
    <w:abstractNumId w:val="31"/>
  </w:num>
  <w:num w:numId="16">
    <w:abstractNumId w:val="15"/>
  </w:num>
  <w:num w:numId="17">
    <w:abstractNumId w:val="27"/>
  </w:num>
  <w:num w:numId="18">
    <w:abstractNumId w:val="12"/>
  </w:num>
  <w:num w:numId="19">
    <w:abstractNumId w:val="18"/>
  </w:num>
  <w:num w:numId="20">
    <w:abstractNumId w:val="25"/>
  </w:num>
  <w:num w:numId="21">
    <w:abstractNumId w:val="16"/>
  </w:num>
  <w:num w:numId="22">
    <w:abstractNumId w:val="19"/>
  </w:num>
  <w:num w:numId="23">
    <w:abstractNumId w:val="29"/>
  </w:num>
  <w:num w:numId="24">
    <w:abstractNumId w:val="3"/>
  </w:num>
  <w:num w:numId="25">
    <w:abstractNumId w:val="2"/>
  </w:num>
  <w:num w:numId="26">
    <w:abstractNumId w:val="0"/>
  </w:num>
  <w:num w:numId="27">
    <w:abstractNumId w:val="26"/>
  </w:num>
  <w:num w:numId="28">
    <w:abstractNumId w:val="23"/>
  </w:num>
  <w:num w:numId="29">
    <w:abstractNumId w:val="9"/>
  </w:num>
  <w:num w:numId="30">
    <w:abstractNumId w:val="1"/>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17"/>
    <w:rsid w:val="00000638"/>
    <w:rsid w:val="00002E00"/>
    <w:rsid w:val="00023A49"/>
    <w:rsid w:val="00032B78"/>
    <w:rsid w:val="00033348"/>
    <w:rsid w:val="00051BCC"/>
    <w:rsid w:val="00063A46"/>
    <w:rsid w:val="000701C3"/>
    <w:rsid w:val="00081545"/>
    <w:rsid w:val="00087465"/>
    <w:rsid w:val="00092681"/>
    <w:rsid w:val="000A2992"/>
    <w:rsid w:val="000D2F24"/>
    <w:rsid w:val="000E05BC"/>
    <w:rsid w:val="000E77C8"/>
    <w:rsid w:val="000F443F"/>
    <w:rsid w:val="00101606"/>
    <w:rsid w:val="00110D0F"/>
    <w:rsid w:val="00110F0B"/>
    <w:rsid w:val="00114FD1"/>
    <w:rsid w:val="00115E3B"/>
    <w:rsid w:val="00123704"/>
    <w:rsid w:val="00124B9A"/>
    <w:rsid w:val="0012677C"/>
    <w:rsid w:val="0013242A"/>
    <w:rsid w:val="00135FD5"/>
    <w:rsid w:val="00140A10"/>
    <w:rsid w:val="0014588A"/>
    <w:rsid w:val="00150C32"/>
    <w:rsid w:val="00152747"/>
    <w:rsid w:val="00166294"/>
    <w:rsid w:val="00167EBC"/>
    <w:rsid w:val="00171379"/>
    <w:rsid w:val="00171F3F"/>
    <w:rsid w:val="001760B8"/>
    <w:rsid w:val="00186D80"/>
    <w:rsid w:val="00192345"/>
    <w:rsid w:val="00193411"/>
    <w:rsid w:val="001947A0"/>
    <w:rsid w:val="00195A86"/>
    <w:rsid w:val="001A4635"/>
    <w:rsid w:val="001B1D67"/>
    <w:rsid w:val="001E0FE3"/>
    <w:rsid w:val="001E1BB2"/>
    <w:rsid w:val="001E6CE2"/>
    <w:rsid w:val="001F2BF2"/>
    <w:rsid w:val="001F3331"/>
    <w:rsid w:val="001F3AF9"/>
    <w:rsid w:val="00210499"/>
    <w:rsid w:val="00234383"/>
    <w:rsid w:val="00236780"/>
    <w:rsid w:val="00245EBC"/>
    <w:rsid w:val="0026033D"/>
    <w:rsid w:val="0026488D"/>
    <w:rsid w:val="002850A3"/>
    <w:rsid w:val="00287B4B"/>
    <w:rsid w:val="002A04E7"/>
    <w:rsid w:val="002B505A"/>
    <w:rsid w:val="002B78C1"/>
    <w:rsid w:val="002C38B9"/>
    <w:rsid w:val="002D18F9"/>
    <w:rsid w:val="002D59F0"/>
    <w:rsid w:val="002E3ED5"/>
    <w:rsid w:val="002E6F41"/>
    <w:rsid w:val="002F19F6"/>
    <w:rsid w:val="002F5BED"/>
    <w:rsid w:val="002F7FFA"/>
    <w:rsid w:val="00302204"/>
    <w:rsid w:val="00303B35"/>
    <w:rsid w:val="00306AB8"/>
    <w:rsid w:val="0031384F"/>
    <w:rsid w:val="003217EB"/>
    <w:rsid w:val="00331ACD"/>
    <w:rsid w:val="00336F39"/>
    <w:rsid w:val="00343D8B"/>
    <w:rsid w:val="00346944"/>
    <w:rsid w:val="00347325"/>
    <w:rsid w:val="003526EF"/>
    <w:rsid w:val="003554DA"/>
    <w:rsid w:val="00365E7E"/>
    <w:rsid w:val="0037262A"/>
    <w:rsid w:val="00384BD3"/>
    <w:rsid w:val="00384E1A"/>
    <w:rsid w:val="00390FA1"/>
    <w:rsid w:val="00395F5D"/>
    <w:rsid w:val="003A2633"/>
    <w:rsid w:val="003A6544"/>
    <w:rsid w:val="003B5478"/>
    <w:rsid w:val="003B5724"/>
    <w:rsid w:val="003B7EA0"/>
    <w:rsid w:val="003C0E03"/>
    <w:rsid w:val="003C22DA"/>
    <w:rsid w:val="003C5C97"/>
    <w:rsid w:val="003D4788"/>
    <w:rsid w:val="003E5283"/>
    <w:rsid w:val="00401638"/>
    <w:rsid w:val="00402977"/>
    <w:rsid w:val="00404205"/>
    <w:rsid w:val="00406FB3"/>
    <w:rsid w:val="004073C8"/>
    <w:rsid w:val="00407BE0"/>
    <w:rsid w:val="00422BBE"/>
    <w:rsid w:val="00427BA2"/>
    <w:rsid w:val="00434C3A"/>
    <w:rsid w:val="0044077E"/>
    <w:rsid w:val="004423A9"/>
    <w:rsid w:val="00444417"/>
    <w:rsid w:val="00462597"/>
    <w:rsid w:val="004700D6"/>
    <w:rsid w:val="004860AA"/>
    <w:rsid w:val="004904D4"/>
    <w:rsid w:val="00491546"/>
    <w:rsid w:val="00491DBC"/>
    <w:rsid w:val="00492437"/>
    <w:rsid w:val="0049497B"/>
    <w:rsid w:val="00496E88"/>
    <w:rsid w:val="004A2312"/>
    <w:rsid w:val="004A7392"/>
    <w:rsid w:val="004B500C"/>
    <w:rsid w:val="004B660F"/>
    <w:rsid w:val="004C0D9A"/>
    <w:rsid w:val="004C3D5D"/>
    <w:rsid w:val="004E0E9A"/>
    <w:rsid w:val="004E55B4"/>
    <w:rsid w:val="004F6F7C"/>
    <w:rsid w:val="004F7687"/>
    <w:rsid w:val="00506AF8"/>
    <w:rsid w:val="0051425B"/>
    <w:rsid w:val="00523860"/>
    <w:rsid w:val="005249EC"/>
    <w:rsid w:val="00532BB6"/>
    <w:rsid w:val="00563293"/>
    <w:rsid w:val="0056339C"/>
    <w:rsid w:val="00563D8E"/>
    <w:rsid w:val="005657A9"/>
    <w:rsid w:val="00574677"/>
    <w:rsid w:val="00583146"/>
    <w:rsid w:val="005A2673"/>
    <w:rsid w:val="005B311B"/>
    <w:rsid w:val="005B6CE9"/>
    <w:rsid w:val="005B6F15"/>
    <w:rsid w:val="005C3FA0"/>
    <w:rsid w:val="005C64D8"/>
    <w:rsid w:val="005C7EA5"/>
    <w:rsid w:val="005D087C"/>
    <w:rsid w:val="005E33B7"/>
    <w:rsid w:val="005F7054"/>
    <w:rsid w:val="0060379E"/>
    <w:rsid w:val="006046C1"/>
    <w:rsid w:val="006115C0"/>
    <w:rsid w:val="00611C04"/>
    <w:rsid w:val="00611E68"/>
    <w:rsid w:val="00651446"/>
    <w:rsid w:val="006614FE"/>
    <w:rsid w:val="006733D9"/>
    <w:rsid w:val="00680F9C"/>
    <w:rsid w:val="00681AA1"/>
    <w:rsid w:val="00683368"/>
    <w:rsid w:val="00684663"/>
    <w:rsid w:val="00696E4A"/>
    <w:rsid w:val="006A0049"/>
    <w:rsid w:val="006B0B49"/>
    <w:rsid w:val="006B0ED7"/>
    <w:rsid w:val="006C235E"/>
    <w:rsid w:val="006C3FE1"/>
    <w:rsid w:val="006D648D"/>
    <w:rsid w:val="00701511"/>
    <w:rsid w:val="00711B05"/>
    <w:rsid w:val="00720FBC"/>
    <w:rsid w:val="00731C34"/>
    <w:rsid w:val="007542DA"/>
    <w:rsid w:val="00762423"/>
    <w:rsid w:val="00762D9D"/>
    <w:rsid w:val="00770D0B"/>
    <w:rsid w:val="00771E7E"/>
    <w:rsid w:val="00785229"/>
    <w:rsid w:val="0079222D"/>
    <w:rsid w:val="00793969"/>
    <w:rsid w:val="00796FC0"/>
    <w:rsid w:val="007976BD"/>
    <w:rsid w:val="007B3274"/>
    <w:rsid w:val="007B6CBE"/>
    <w:rsid w:val="007C449F"/>
    <w:rsid w:val="007E07C5"/>
    <w:rsid w:val="007E1444"/>
    <w:rsid w:val="007E4285"/>
    <w:rsid w:val="007F0404"/>
    <w:rsid w:val="007F1619"/>
    <w:rsid w:val="007F4DF7"/>
    <w:rsid w:val="008000BF"/>
    <w:rsid w:val="0080411A"/>
    <w:rsid w:val="00810426"/>
    <w:rsid w:val="00812A7E"/>
    <w:rsid w:val="00817863"/>
    <w:rsid w:val="00827EC0"/>
    <w:rsid w:val="00830596"/>
    <w:rsid w:val="008536B5"/>
    <w:rsid w:val="0085464C"/>
    <w:rsid w:val="008578B9"/>
    <w:rsid w:val="00861E07"/>
    <w:rsid w:val="008640BB"/>
    <w:rsid w:val="00872E90"/>
    <w:rsid w:val="00873140"/>
    <w:rsid w:val="00873808"/>
    <w:rsid w:val="008820B5"/>
    <w:rsid w:val="00882B90"/>
    <w:rsid w:val="00887EF6"/>
    <w:rsid w:val="00895510"/>
    <w:rsid w:val="008A5821"/>
    <w:rsid w:val="008C2B80"/>
    <w:rsid w:val="008C785F"/>
    <w:rsid w:val="008E25DD"/>
    <w:rsid w:val="008E56C7"/>
    <w:rsid w:val="008F4B24"/>
    <w:rsid w:val="008F6E35"/>
    <w:rsid w:val="008F701F"/>
    <w:rsid w:val="008F7E16"/>
    <w:rsid w:val="00903548"/>
    <w:rsid w:val="0090666C"/>
    <w:rsid w:val="00911A9E"/>
    <w:rsid w:val="009225F6"/>
    <w:rsid w:val="00934B4D"/>
    <w:rsid w:val="0093538F"/>
    <w:rsid w:val="00937DEC"/>
    <w:rsid w:val="009417E3"/>
    <w:rsid w:val="00947282"/>
    <w:rsid w:val="00972B77"/>
    <w:rsid w:val="009730CF"/>
    <w:rsid w:val="00973FD1"/>
    <w:rsid w:val="009A2A73"/>
    <w:rsid w:val="009A4E6F"/>
    <w:rsid w:val="009B64BD"/>
    <w:rsid w:val="009C2538"/>
    <w:rsid w:val="009F5B33"/>
    <w:rsid w:val="00A12B52"/>
    <w:rsid w:val="00A2614E"/>
    <w:rsid w:val="00A27A00"/>
    <w:rsid w:val="00A31809"/>
    <w:rsid w:val="00A41517"/>
    <w:rsid w:val="00A47CE2"/>
    <w:rsid w:val="00A55F5F"/>
    <w:rsid w:val="00A62250"/>
    <w:rsid w:val="00A72F34"/>
    <w:rsid w:val="00A8085C"/>
    <w:rsid w:val="00A8188E"/>
    <w:rsid w:val="00A81E0A"/>
    <w:rsid w:val="00A81F15"/>
    <w:rsid w:val="00A821F9"/>
    <w:rsid w:val="00A91136"/>
    <w:rsid w:val="00AA00C9"/>
    <w:rsid w:val="00AB7068"/>
    <w:rsid w:val="00AB7266"/>
    <w:rsid w:val="00AC2450"/>
    <w:rsid w:val="00AC4D0E"/>
    <w:rsid w:val="00AE49D6"/>
    <w:rsid w:val="00B117D2"/>
    <w:rsid w:val="00B15C0B"/>
    <w:rsid w:val="00B20E74"/>
    <w:rsid w:val="00B27FF6"/>
    <w:rsid w:val="00B377CB"/>
    <w:rsid w:val="00B44477"/>
    <w:rsid w:val="00B50F80"/>
    <w:rsid w:val="00B56426"/>
    <w:rsid w:val="00B60361"/>
    <w:rsid w:val="00B66361"/>
    <w:rsid w:val="00B8574F"/>
    <w:rsid w:val="00B918F7"/>
    <w:rsid w:val="00BA1738"/>
    <w:rsid w:val="00BB3B4B"/>
    <w:rsid w:val="00BB643B"/>
    <w:rsid w:val="00BC0497"/>
    <w:rsid w:val="00BD39A3"/>
    <w:rsid w:val="00BE1FD3"/>
    <w:rsid w:val="00BE226D"/>
    <w:rsid w:val="00BE735A"/>
    <w:rsid w:val="00BF4965"/>
    <w:rsid w:val="00BF5F88"/>
    <w:rsid w:val="00BF709E"/>
    <w:rsid w:val="00C03DFB"/>
    <w:rsid w:val="00C1111D"/>
    <w:rsid w:val="00C11CF0"/>
    <w:rsid w:val="00C22BA6"/>
    <w:rsid w:val="00C23195"/>
    <w:rsid w:val="00C30AEF"/>
    <w:rsid w:val="00C32FBE"/>
    <w:rsid w:val="00C340EC"/>
    <w:rsid w:val="00C35B56"/>
    <w:rsid w:val="00C419F6"/>
    <w:rsid w:val="00C45843"/>
    <w:rsid w:val="00C51ED2"/>
    <w:rsid w:val="00C546CC"/>
    <w:rsid w:val="00C55914"/>
    <w:rsid w:val="00C56831"/>
    <w:rsid w:val="00C71DD5"/>
    <w:rsid w:val="00C74CAB"/>
    <w:rsid w:val="00C91922"/>
    <w:rsid w:val="00C95887"/>
    <w:rsid w:val="00CA628B"/>
    <w:rsid w:val="00CB18DE"/>
    <w:rsid w:val="00CB5B81"/>
    <w:rsid w:val="00CC228D"/>
    <w:rsid w:val="00CC5D65"/>
    <w:rsid w:val="00CC6BB2"/>
    <w:rsid w:val="00CC7A9D"/>
    <w:rsid w:val="00CD0E20"/>
    <w:rsid w:val="00CD1BB4"/>
    <w:rsid w:val="00CD3663"/>
    <w:rsid w:val="00CD5F4C"/>
    <w:rsid w:val="00CE05D7"/>
    <w:rsid w:val="00CF095C"/>
    <w:rsid w:val="00CF1828"/>
    <w:rsid w:val="00CF3F4F"/>
    <w:rsid w:val="00CF4A8E"/>
    <w:rsid w:val="00CF6F94"/>
    <w:rsid w:val="00CF7313"/>
    <w:rsid w:val="00D00C87"/>
    <w:rsid w:val="00D03845"/>
    <w:rsid w:val="00D2261E"/>
    <w:rsid w:val="00D25B16"/>
    <w:rsid w:val="00D44B2A"/>
    <w:rsid w:val="00D53E4C"/>
    <w:rsid w:val="00D53F96"/>
    <w:rsid w:val="00D614C3"/>
    <w:rsid w:val="00D71761"/>
    <w:rsid w:val="00D806F6"/>
    <w:rsid w:val="00D91EF6"/>
    <w:rsid w:val="00D964CA"/>
    <w:rsid w:val="00DA3DA5"/>
    <w:rsid w:val="00DC1234"/>
    <w:rsid w:val="00DC6313"/>
    <w:rsid w:val="00DD0653"/>
    <w:rsid w:val="00DD5403"/>
    <w:rsid w:val="00DE0836"/>
    <w:rsid w:val="00DF77E0"/>
    <w:rsid w:val="00E15A10"/>
    <w:rsid w:val="00E20E93"/>
    <w:rsid w:val="00E21698"/>
    <w:rsid w:val="00E23DA2"/>
    <w:rsid w:val="00E25865"/>
    <w:rsid w:val="00E3339C"/>
    <w:rsid w:val="00E50C1E"/>
    <w:rsid w:val="00E55BB5"/>
    <w:rsid w:val="00E62CAB"/>
    <w:rsid w:val="00E6532C"/>
    <w:rsid w:val="00E746C8"/>
    <w:rsid w:val="00E84871"/>
    <w:rsid w:val="00E878F6"/>
    <w:rsid w:val="00E91A00"/>
    <w:rsid w:val="00E9254A"/>
    <w:rsid w:val="00EB6C37"/>
    <w:rsid w:val="00EC77AF"/>
    <w:rsid w:val="00ED0D21"/>
    <w:rsid w:val="00ED423F"/>
    <w:rsid w:val="00EE3AAD"/>
    <w:rsid w:val="00EF6097"/>
    <w:rsid w:val="00F00820"/>
    <w:rsid w:val="00F00B94"/>
    <w:rsid w:val="00F10CDB"/>
    <w:rsid w:val="00F269BA"/>
    <w:rsid w:val="00F273B6"/>
    <w:rsid w:val="00F339C8"/>
    <w:rsid w:val="00F4016A"/>
    <w:rsid w:val="00F40FC3"/>
    <w:rsid w:val="00F65E2F"/>
    <w:rsid w:val="00F851C8"/>
    <w:rsid w:val="00F92CB0"/>
    <w:rsid w:val="00FA4081"/>
    <w:rsid w:val="00FB2094"/>
    <w:rsid w:val="00FB256F"/>
    <w:rsid w:val="00FB3643"/>
    <w:rsid w:val="00FB75A9"/>
    <w:rsid w:val="00FC19B1"/>
    <w:rsid w:val="00FC4323"/>
    <w:rsid w:val="00FC5878"/>
    <w:rsid w:val="00FD006F"/>
    <w:rsid w:val="00FD15B5"/>
    <w:rsid w:val="00FD3730"/>
    <w:rsid w:val="00FE2F6B"/>
    <w:rsid w:val="00FF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73"/>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2C38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3"/>
    <w:uiPriority w:val="59"/>
    <w:rsid w:val="00B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73"/>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2C38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3"/>
    <w:uiPriority w:val="59"/>
    <w:rsid w:val="00B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B9CC-1D76-44C5-A0A7-583AAC1B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剛</dc:creator>
  <cp:lastModifiedBy>奥野　博信</cp:lastModifiedBy>
  <cp:revision>5</cp:revision>
  <cp:lastPrinted>2017-06-26T08:30:00Z</cp:lastPrinted>
  <dcterms:created xsi:type="dcterms:W3CDTF">2017-06-26T03:38:00Z</dcterms:created>
  <dcterms:modified xsi:type="dcterms:W3CDTF">2017-06-26T08:30:00Z</dcterms:modified>
</cp:coreProperties>
</file>