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EB" w:rsidRDefault="002D64EB" w:rsidP="00A0545F">
      <w:pPr>
        <w:spacing w:line="360" w:lineRule="exact"/>
        <w:ind w:leftChars="-1" w:left="-2" w:rightChars="-68" w:right="-143" w:firstLine="1"/>
        <w:jc w:val="center"/>
        <w:rPr>
          <w:rFonts w:ascii="Meiryo UI" w:eastAsia="Meiryo UI" w:hAnsi="Meiryo UI" w:cs="Meiryo UI"/>
          <w:b/>
          <w:sz w:val="26"/>
          <w:szCs w:val="26"/>
        </w:rPr>
      </w:pPr>
    </w:p>
    <w:p w:rsidR="00B116AA" w:rsidRPr="00A0545F" w:rsidRDefault="00A0545F" w:rsidP="00A0545F">
      <w:pPr>
        <w:spacing w:line="360" w:lineRule="exact"/>
        <w:ind w:leftChars="-1" w:left="-2" w:rightChars="-68" w:right="-143" w:firstLine="1"/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A0545F">
        <w:rPr>
          <w:rFonts w:ascii="Meiryo UI" w:eastAsia="Meiryo UI" w:hAnsi="Meiryo UI" w:cs="Meiryo UI" w:hint="eastAsia"/>
          <w:b/>
          <w:sz w:val="26"/>
          <w:szCs w:val="26"/>
        </w:rPr>
        <w:t>化学的酸素要求量、窒素含有量及びりん含有量に係る総量削減計画</w:t>
      </w:r>
      <w:r w:rsidR="00265D84" w:rsidRPr="00A0545F">
        <w:rPr>
          <w:rFonts w:ascii="Meiryo UI" w:eastAsia="Meiryo UI" w:hAnsi="Meiryo UI" w:cs="Meiryo UI" w:hint="eastAsia"/>
          <w:b/>
          <w:sz w:val="26"/>
          <w:szCs w:val="26"/>
        </w:rPr>
        <w:t>（案）</w:t>
      </w:r>
      <w:r w:rsidR="00AC20D5" w:rsidRPr="00A0545F">
        <w:rPr>
          <w:rFonts w:ascii="Meiryo UI" w:eastAsia="Meiryo UI" w:hAnsi="Meiryo UI" w:cs="Meiryo UI" w:hint="eastAsia"/>
          <w:b/>
          <w:sz w:val="26"/>
          <w:szCs w:val="26"/>
        </w:rPr>
        <w:t>について</w:t>
      </w:r>
    </w:p>
    <w:p w:rsidR="00E0436D" w:rsidRDefault="00E0436D" w:rsidP="00E0436D">
      <w:pPr>
        <w:spacing w:line="80" w:lineRule="exact"/>
        <w:jc w:val="center"/>
        <w:rPr>
          <w:rFonts w:ascii="Meiryo UI" w:eastAsia="Meiryo UI" w:hAnsi="Meiryo UI" w:cs="Meiryo UI"/>
          <w:b/>
          <w:sz w:val="32"/>
        </w:rPr>
      </w:pPr>
    </w:p>
    <w:p w:rsidR="00E0436D" w:rsidRDefault="00E0436D" w:rsidP="00A42B9C">
      <w:pPr>
        <w:spacing w:line="80" w:lineRule="exact"/>
        <w:rPr>
          <w:rFonts w:ascii="Meiryo UI" w:eastAsia="Meiryo UI" w:hAnsi="Meiryo UI" w:cs="Meiryo UI"/>
          <w:b/>
          <w:sz w:val="22"/>
        </w:rPr>
      </w:pPr>
    </w:p>
    <w:p w:rsidR="002D64EB" w:rsidRDefault="002D64EB" w:rsidP="00A42B9C">
      <w:pPr>
        <w:spacing w:line="80" w:lineRule="exact"/>
        <w:rPr>
          <w:rFonts w:ascii="Meiryo UI" w:eastAsia="Meiryo UI" w:hAnsi="Meiryo UI" w:cs="Meiryo UI"/>
          <w:b/>
          <w:sz w:val="22"/>
        </w:rPr>
      </w:pPr>
    </w:p>
    <w:p w:rsidR="002D64EB" w:rsidRDefault="002D64EB" w:rsidP="00A42B9C">
      <w:pPr>
        <w:spacing w:line="80" w:lineRule="exact"/>
        <w:rPr>
          <w:rFonts w:ascii="Meiryo UI" w:eastAsia="Meiryo UI" w:hAnsi="Meiryo UI" w:cs="Meiryo UI"/>
          <w:b/>
          <w:sz w:val="22"/>
        </w:rPr>
      </w:pPr>
    </w:p>
    <w:p w:rsidR="0069466F" w:rsidRDefault="0069466F" w:rsidP="00A42B9C">
      <w:pPr>
        <w:spacing w:line="80" w:lineRule="exact"/>
        <w:rPr>
          <w:rFonts w:ascii="Meiryo UI" w:eastAsia="Meiryo UI" w:hAnsi="Meiryo UI" w:cs="Meiryo UI"/>
          <w:b/>
          <w:sz w:val="22"/>
        </w:rPr>
      </w:pPr>
    </w:p>
    <w:p w:rsidR="0069466F" w:rsidRDefault="0069466F" w:rsidP="00A42B9C">
      <w:pPr>
        <w:spacing w:line="80" w:lineRule="exact"/>
        <w:rPr>
          <w:rFonts w:ascii="Meiryo UI" w:eastAsia="Meiryo UI" w:hAnsi="Meiryo UI" w:cs="Meiryo UI"/>
          <w:b/>
          <w:sz w:val="22"/>
        </w:rPr>
      </w:pPr>
    </w:p>
    <w:p w:rsidR="002D64EB" w:rsidRDefault="002D64EB" w:rsidP="00A42B9C">
      <w:pPr>
        <w:spacing w:line="80" w:lineRule="exact"/>
        <w:rPr>
          <w:rFonts w:ascii="Meiryo UI" w:eastAsia="Meiryo UI" w:hAnsi="Meiryo UI" w:cs="Meiryo UI"/>
          <w:b/>
          <w:sz w:val="22"/>
        </w:rPr>
      </w:pPr>
    </w:p>
    <w:p w:rsidR="002D64EB" w:rsidRDefault="002D64EB" w:rsidP="00A42B9C">
      <w:pPr>
        <w:spacing w:line="80" w:lineRule="exact"/>
        <w:rPr>
          <w:rFonts w:ascii="Meiryo UI" w:eastAsia="Meiryo UI" w:hAnsi="Meiryo UI" w:cs="Meiryo UI"/>
          <w:b/>
          <w:sz w:val="22"/>
        </w:rPr>
      </w:pPr>
    </w:p>
    <w:p w:rsidR="00D053C7" w:rsidRPr="00E0436D" w:rsidRDefault="00D053C7" w:rsidP="00A42B9C">
      <w:pPr>
        <w:spacing w:line="80" w:lineRule="exact"/>
        <w:rPr>
          <w:rFonts w:ascii="Meiryo UI" w:eastAsia="Meiryo UI" w:hAnsi="Meiryo UI" w:cs="Meiryo UI"/>
          <w:b/>
          <w:sz w:val="22"/>
        </w:rPr>
      </w:pPr>
    </w:p>
    <w:p w:rsidR="005C4E08" w:rsidRDefault="005C4E08" w:rsidP="00E0436D">
      <w:pPr>
        <w:spacing w:line="320" w:lineRule="exact"/>
        <w:rPr>
          <w:rFonts w:ascii="Meiryo UI" w:eastAsia="Meiryo UI" w:hAnsi="Meiryo UI" w:cs="Meiryo UI"/>
          <w:b/>
          <w:color w:val="FFFFFF" w:themeColor="background1"/>
          <w:sz w:val="22"/>
        </w:rPr>
      </w:pPr>
      <w:r w:rsidRPr="00722F8C">
        <w:rPr>
          <w:rFonts w:ascii="Meiryo UI" w:eastAsia="Meiryo UI" w:hAnsi="Meiryo UI" w:cs="Meiryo UI" w:hint="eastAsia"/>
          <w:b/>
          <w:color w:val="FFFFFF" w:themeColor="background1"/>
          <w:sz w:val="22"/>
          <w:highlight w:val="blue"/>
        </w:rPr>
        <w:t xml:space="preserve">　計画策定の趣旨　</w:t>
      </w:r>
    </w:p>
    <w:p w:rsidR="00951B4F" w:rsidRPr="005C4E08" w:rsidRDefault="00951B4F" w:rsidP="00951B4F">
      <w:pPr>
        <w:spacing w:line="40" w:lineRule="exact"/>
        <w:rPr>
          <w:rFonts w:ascii="Meiryo UI" w:eastAsia="Meiryo UI" w:hAnsi="Meiryo UI" w:cs="Meiryo UI"/>
          <w:b/>
          <w:color w:val="FFFFFF" w:themeColor="background1"/>
          <w:sz w:val="28"/>
        </w:rPr>
      </w:pPr>
    </w:p>
    <w:p w:rsidR="00E7422C" w:rsidRDefault="00E7422C" w:rsidP="002D64EB">
      <w:pPr>
        <w:spacing w:line="360" w:lineRule="exact"/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・人口、産業が集中する広域的な閉鎖性海域である</w:t>
      </w:r>
      <w:r w:rsidRPr="00E7422C">
        <w:rPr>
          <w:rFonts w:hint="eastAsia"/>
          <w:sz w:val="22"/>
        </w:rPr>
        <w:t>大阪湾においては、昭和</w:t>
      </w:r>
      <w:r w:rsidRPr="00E7422C">
        <w:rPr>
          <w:rFonts w:hint="eastAsia"/>
          <w:sz w:val="22"/>
        </w:rPr>
        <w:t>53</w:t>
      </w:r>
      <w:r>
        <w:rPr>
          <w:rFonts w:hint="eastAsia"/>
          <w:sz w:val="22"/>
        </w:rPr>
        <w:t>年に、水質汚濁防止法及び瀬戸内海環境保全特別措置</w:t>
      </w:r>
      <w:r w:rsidRPr="00E7422C">
        <w:rPr>
          <w:rFonts w:hint="eastAsia"/>
          <w:sz w:val="22"/>
        </w:rPr>
        <w:t>法の改正によ</w:t>
      </w:r>
      <w:r>
        <w:rPr>
          <w:rFonts w:hint="eastAsia"/>
          <w:sz w:val="22"/>
        </w:rPr>
        <w:t>り水質総量削減制度が導入され、これまで５年ごとに７次にわたり水</w:t>
      </w:r>
      <w:r w:rsidRPr="00E7422C">
        <w:rPr>
          <w:rFonts w:hint="eastAsia"/>
          <w:sz w:val="22"/>
        </w:rPr>
        <w:t>質総量削減を実施してい</w:t>
      </w:r>
      <w:r>
        <w:rPr>
          <w:rFonts w:hint="eastAsia"/>
          <w:sz w:val="22"/>
        </w:rPr>
        <w:t>ます</w:t>
      </w:r>
      <w:r w:rsidRPr="00E7422C">
        <w:rPr>
          <w:rFonts w:hint="eastAsia"/>
          <w:sz w:val="22"/>
        </w:rPr>
        <w:t>。</w:t>
      </w:r>
    </w:p>
    <w:p w:rsidR="00561A17" w:rsidRDefault="00E7422C" w:rsidP="002D64EB">
      <w:pPr>
        <w:spacing w:line="360" w:lineRule="exact"/>
        <w:ind w:leftChars="100" w:left="430" w:hangingChars="100" w:hanging="220"/>
        <w:rPr>
          <w:rFonts w:hAnsi="ＭＳ 明朝"/>
          <w:sz w:val="22"/>
        </w:rPr>
      </w:pPr>
      <w:r>
        <w:rPr>
          <w:rFonts w:hint="eastAsia"/>
          <w:sz w:val="22"/>
        </w:rPr>
        <w:t>・</w:t>
      </w:r>
      <w:r w:rsidR="005447F6" w:rsidRPr="00E0436D">
        <w:rPr>
          <w:rFonts w:hint="eastAsia"/>
          <w:sz w:val="22"/>
        </w:rPr>
        <w:t>本計画は、平成</w:t>
      </w:r>
      <w:r w:rsidR="00561A17">
        <w:rPr>
          <w:rFonts w:hint="eastAsia"/>
          <w:sz w:val="22"/>
        </w:rPr>
        <w:t>28</w:t>
      </w:r>
      <w:r w:rsidR="00561A17">
        <w:rPr>
          <w:rFonts w:hint="eastAsia"/>
          <w:sz w:val="22"/>
        </w:rPr>
        <w:t>年９</w:t>
      </w:r>
      <w:r w:rsidR="005447F6" w:rsidRPr="00E0436D">
        <w:rPr>
          <w:rFonts w:hint="eastAsia"/>
          <w:sz w:val="22"/>
        </w:rPr>
        <w:t>月に</w:t>
      </w:r>
      <w:r w:rsidR="00561A17">
        <w:rPr>
          <w:rFonts w:hint="eastAsia"/>
          <w:sz w:val="22"/>
        </w:rPr>
        <w:t>策定</w:t>
      </w:r>
      <w:r w:rsidR="005447F6" w:rsidRPr="00E0436D">
        <w:rPr>
          <w:rFonts w:hint="eastAsia"/>
          <w:sz w:val="22"/>
        </w:rPr>
        <w:t>された国の「</w:t>
      </w:r>
      <w:r w:rsidR="00561A17" w:rsidRPr="00561A17">
        <w:rPr>
          <w:rFonts w:hint="eastAsia"/>
          <w:sz w:val="22"/>
        </w:rPr>
        <w:t>化学的酸素要求量、窒素含有量及びりん含有量に係る総量削減計画</w:t>
      </w:r>
      <w:r w:rsidR="00561A17">
        <w:rPr>
          <w:rFonts w:hint="eastAsia"/>
          <w:sz w:val="22"/>
        </w:rPr>
        <w:t>（瀬戸内海）</w:t>
      </w:r>
      <w:r w:rsidR="005447F6" w:rsidRPr="00E0436D">
        <w:rPr>
          <w:rFonts w:hint="eastAsia"/>
          <w:sz w:val="22"/>
        </w:rPr>
        <w:t>」に基づき、</w:t>
      </w:r>
      <w:r w:rsidR="00561A17">
        <w:rPr>
          <w:rFonts w:hint="eastAsia"/>
          <w:sz w:val="22"/>
        </w:rPr>
        <w:t>大阪府における汚濁負荷量の削減目標量や</w:t>
      </w:r>
      <w:r>
        <w:rPr>
          <w:rFonts w:hint="eastAsia"/>
          <w:sz w:val="22"/>
        </w:rPr>
        <w:t>、その達成のための方途等について</w:t>
      </w:r>
      <w:r w:rsidR="002107B9" w:rsidRPr="00E0436D">
        <w:rPr>
          <w:rFonts w:hAnsi="ＭＳ 明朝" w:hint="eastAsia"/>
          <w:sz w:val="22"/>
        </w:rPr>
        <w:t>定める</w:t>
      </w:r>
      <w:r w:rsidR="00FB4C07" w:rsidRPr="00E0436D">
        <w:rPr>
          <w:rFonts w:hAnsi="ＭＳ 明朝" w:hint="eastAsia"/>
          <w:sz w:val="22"/>
        </w:rPr>
        <w:t>ものです。</w:t>
      </w:r>
    </w:p>
    <w:p w:rsidR="00561A17" w:rsidRPr="00561A17" w:rsidRDefault="00561A17" w:rsidP="00561A17">
      <w:pPr>
        <w:spacing w:line="280" w:lineRule="exact"/>
        <w:ind w:firstLineChars="100" w:firstLine="220"/>
        <w:rPr>
          <w:rFonts w:hAnsi="ＭＳ 明朝"/>
          <w:sz w:val="22"/>
        </w:rPr>
      </w:pPr>
    </w:p>
    <w:p w:rsidR="00A42B9C" w:rsidRDefault="00A42B9C" w:rsidP="00A42B9C">
      <w:pPr>
        <w:spacing w:line="80" w:lineRule="exact"/>
        <w:ind w:leftChars="150" w:left="315"/>
        <w:rPr>
          <w:rFonts w:hAnsi="ＭＳ 明朝"/>
          <w:sz w:val="22"/>
        </w:rPr>
      </w:pPr>
    </w:p>
    <w:p w:rsidR="00E0436D" w:rsidRPr="005C4E08" w:rsidRDefault="00E7422C" w:rsidP="005C4E08">
      <w:pPr>
        <w:spacing w:line="320" w:lineRule="exact"/>
        <w:rPr>
          <w:rFonts w:ascii="Meiryo UI" w:eastAsia="Meiryo UI" w:hAnsi="Meiryo UI" w:cs="Meiryo UI"/>
          <w:b/>
          <w:color w:val="FFFFFF" w:themeColor="background1"/>
          <w:sz w:val="22"/>
        </w:rPr>
      </w:pPr>
      <w:r>
        <w:rPr>
          <w:rFonts w:ascii="Meiryo UI" w:eastAsia="Meiryo UI" w:hAnsi="Meiryo UI" w:cs="Meiryo UI" w:hint="eastAsia"/>
          <w:b/>
          <w:color w:val="FFFFFF" w:themeColor="background1"/>
          <w:sz w:val="22"/>
          <w:highlight w:val="blue"/>
        </w:rPr>
        <w:t xml:space="preserve">　削減目標量</w:t>
      </w:r>
      <w:r w:rsidR="005C4E08" w:rsidRPr="00722F8C">
        <w:rPr>
          <w:rFonts w:ascii="Meiryo UI" w:eastAsia="Meiryo UI" w:hAnsi="Meiryo UI" w:cs="Meiryo UI" w:hint="eastAsia"/>
          <w:b/>
          <w:color w:val="FFFFFF" w:themeColor="background1"/>
          <w:sz w:val="22"/>
          <w:highlight w:val="blue"/>
        </w:rPr>
        <w:t xml:space="preserve">　</w:t>
      </w:r>
    </w:p>
    <w:p w:rsidR="00A42B9C" w:rsidRDefault="00A42B9C" w:rsidP="00951B4F">
      <w:pPr>
        <w:spacing w:line="40" w:lineRule="exact"/>
        <w:ind w:leftChars="150" w:left="315"/>
        <w:rPr>
          <w:sz w:val="22"/>
        </w:rPr>
      </w:pPr>
    </w:p>
    <w:p w:rsidR="00E7422C" w:rsidRDefault="00E7422C" w:rsidP="002D64EB">
      <w:pPr>
        <w:spacing w:line="360" w:lineRule="exact"/>
        <w:ind w:leftChars="150" w:left="315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年度を目標年度とする発生源別の削減目標量</w:t>
      </w:r>
      <w:r w:rsidR="0091449D">
        <w:rPr>
          <w:rFonts w:hint="eastAsia"/>
          <w:sz w:val="22"/>
        </w:rPr>
        <w:t>を、国の総量削減基本方針に基づき、次のとおり定めています</w:t>
      </w:r>
      <w:r>
        <w:rPr>
          <w:rFonts w:hint="eastAsia"/>
          <w:sz w:val="22"/>
        </w:rPr>
        <w:t>。</w:t>
      </w:r>
    </w:p>
    <w:p w:rsidR="0091449D" w:rsidRPr="005D7E9D" w:rsidRDefault="0091449D" w:rsidP="005D7E9D">
      <w:pPr>
        <w:spacing w:line="280" w:lineRule="exact"/>
        <w:ind w:leftChars="150" w:left="315" w:rightChars="-93" w:right="-195"/>
        <w:jc w:val="right"/>
        <w:rPr>
          <w:sz w:val="18"/>
        </w:rPr>
      </w:pPr>
      <w:r w:rsidRPr="005D7E9D">
        <w:rPr>
          <w:rFonts w:hint="eastAsia"/>
          <w:sz w:val="18"/>
        </w:rPr>
        <w:t>（トン／日）</w:t>
      </w:r>
    </w:p>
    <w:tbl>
      <w:tblPr>
        <w:tblStyle w:val="a3"/>
        <w:tblW w:w="0" w:type="auto"/>
        <w:tblInd w:w="315" w:type="dxa"/>
        <w:tblLook w:val="04A0" w:firstRow="1" w:lastRow="0" w:firstColumn="1" w:lastColumn="0" w:noHBand="0" w:noVBand="1"/>
      </w:tblPr>
      <w:tblGrid>
        <w:gridCol w:w="1315"/>
        <w:gridCol w:w="1276"/>
        <w:gridCol w:w="1276"/>
        <w:gridCol w:w="1276"/>
        <w:gridCol w:w="1276"/>
        <w:gridCol w:w="1276"/>
        <w:gridCol w:w="1276"/>
      </w:tblGrid>
      <w:tr w:rsidR="0091449D" w:rsidTr="000B2537">
        <w:tc>
          <w:tcPr>
            <w:tcW w:w="1315" w:type="dxa"/>
            <w:vMerge w:val="restart"/>
          </w:tcPr>
          <w:p w:rsidR="0091449D" w:rsidRPr="0091449D" w:rsidRDefault="0091449D" w:rsidP="00A42B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91449D" w:rsidRPr="0069466F" w:rsidRDefault="0091449D" w:rsidP="0091449D">
            <w:pPr>
              <w:spacing w:line="280" w:lineRule="exact"/>
              <w:jc w:val="center"/>
              <w:rPr>
                <w:sz w:val="20"/>
                <w:szCs w:val="18"/>
              </w:rPr>
            </w:pPr>
            <w:r w:rsidRPr="0069466F">
              <w:rPr>
                <w:rFonts w:hint="eastAsia"/>
                <w:sz w:val="20"/>
                <w:szCs w:val="18"/>
              </w:rPr>
              <w:t>化学的酸素要求量</w:t>
            </w:r>
          </w:p>
        </w:tc>
        <w:tc>
          <w:tcPr>
            <w:tcW w:w="2552" w:type="dxa"/>
            <w:gridSpan w:val="2"/>
          </w:tcPr>
          <w:p w:rsidR="0091449D" w:rsidRPr="0069466F" w:rsidRDefault="0091449D" w:rsidP="0091449D">
            <w:pPr>
              <w:spacing w:line="280" w:lineRule="exact"/>
              <w:jc w:val="center"/>
              <w:rPr>
                <w:sz w:val="20"/>
                <w:szCs w:val="18"/>
              </w:rPr>
            </w:pPr>
            <w:r w:rsidRPr="0069466F">
              <w:rPr>
                <w:rFonts w:hint="eastAsia"/>
                <w:sz w:val="20"/>
                <w:szCs w:val="18"/>
              </w:rPr>
              <w:t>窒素含有量</w:t>
            </w:r>
          </w:p>
        </w:tc>
        <w:tc>
          <w:tcPr>
            <w:tcW w:w="2552" w:type="dxa"/>
            <w:gridSpan w:val="2"/>
          </w:tcPr>
          <w:p w:rsidR="0091449D" w:rsidRPr="0069466F" w:rsidRDefault="0091449D" w:rsidP="0091449D">
            <w:pPr>
              <w:spacing w:line="280" w:lineRule="exact"/>
              <w:jc w:val="center"/>
              <w:rPr>
                <w:sz w:val="20"/>
                <w:szCs w:val="18"/>
              </w:rPr>
            </w:pPr>
            <w:r w:rsidRPr="0069466F">
              <w:rPr>
                <w:rFonts w:hint="eastAsia"/>
                <w:sz w:val="20"/>
                <w:szCs w:val="18"/>
              </w:rPr>
              <w:t>りん含有量</w:t>
            </w:r>
          </w:p>
        </w:tc>
      </w:tr>
      <w:tr w:rsidR="0091449D" w:rsidTr="00354682">
        <w:tc>
          <w:tcPr>
            <w:tcW w:w="1315" w:type="dxa"/>
            <w:vMerge/>
          </w:tcPr>
          <w:p w:rsidR="0091449D" w:rsidRPr="0091449D" w:rsidRDefault="0091449D" w:rsidP="00A42B9C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1449D" w:rsidRPr="0069466F" w:rsidRDefault="0091449D" w:rsidP="0091449D">
            <w:pPr>
              <w:spacing w:line="280" w:lineRule="exact"/>
              <w:jc w:val="center"/>
              <w:rPr>
                <w:sz w:val="20"/>
                <w:szCs w:val="18"/>
              </w:rPr>
            </w:pPr>
            <w:r w:rsidRPr="0069466F">
              <w:rPr>
                <w:rFonts w:hint="eastAsia"/>
                <w:sz w:val="20"/>
                <w:szCs w:val="18"/>
              </w:rPr>
              <w:t>削減目標量</w:t>
            </w:r>
          </w:p>
        </w:tc>
        <w:tc>
          <w:tcPr>
            <w:tcW w:w="1276" w:type="dxa"/>
            <w:vAlign w:val="center"/>
          </w:tcPr>
          <w:p w:rsidR="0091449D" w:rsidRPr="0069466F" w:rsidRDefault="0091449D" w:rsidP="0091449D">
            <w:pPr>
              <w:spacing w:line="280" w:lineRule="exact"/>
              <w:rPr>
                <w:sz w:val="20"/>
                <w:szCs w:val="18"/>
              </w:rPr>
            </w:pPr>
            <w:r w:rsidRPr="0069466F">
              <w:rPr>
                <w:rFonts w:hint="eastAsia"/>
                <w:sz w:val="20"/>
                <w:szCs w:val="18"/>
              </w:rPr>
              <w:t>(</w:t>
            </w:r>
            <w:r w:rsidRPr="0069466F">
              <w:rPr>
                <w:rFonts w:hint="eastAsia"/>
                <w:sz w:val="20"/>
                <w:szCs w:val="18"/>
              </w:rPr>
              <w:t>参考</w:t>
            </w:r>
            <w:r w:rsidRPr="0069466F">
              <w:rPr>
                <w:rFonts w:hint="eastAsia"/>
                <w:sz w:val="20"/>
                <w:szCs w:val="18"/>
              </w:rPr>
              <w:t>)</w:t>
            </w:r>
            <w:r w:rsidRPr="0069466F">
              <w:rPr>
                <w:rFonts w:hint="eastAsia"/>
                <w:sz w:val="20"/>
                <w:szCs w:val="18"/>
              </w:rPr>
              <w:t>平成</w:t>
            </w:r>
            <w:r w:rsidRPr="0069466F">
              <w:rPr>
                <w:rFonts w:hint="eastAsia"/>
                <w:sz w:val="20"/>
                <w:szCs w:val="18"/>
              </w:rPr>
              <w:t>26</w:t>
            </w:r>
            <w:r w:rsidRPr="0069466F">
              <w:rPr>
                <w:rFonts w:hint="eastAsia"/>
                <w:sz w:val="20"/>
                <w:szCs w:val="18"/>
              </w:rPr>
              <w:t>年度実績</w:t>
            </w:r>
          </w:p>
        </w:tc>
        <w:tc>
          <w:tcPr>
            <w:tcW w:w="1276" w:type="dxa"/>
            <w:vAlign w:val="center"/>
          </w:tcPr>
          <w:p w:rsidR="0091449D" w:rsidRPr="0069466F" w:rsidRDefault="0091449D" w:rsidP="009A2B2C">
            <w:pPr>
              <w:spacing w:line="280" w:lineRule="exact"/>
              <w:jc w:val="center"/>
              <w:rPr>
                <w:sz w:val="20"/>
                <w:szCs w:val="18"/>
              </w:rPr>
            </w:pPr>
            <w:r w:rsidRPr="0069466F">
              <w:rPr>
                <w:rFonts w:hint="eastAsia"/>
                <w:sz w:val="20"/>
                <w:szCs w:val="18"/>
              </w:rPr>
              <w:t>削減目標量</w:t>
            </w:r>
          </w:p>
        </w:tc>
        <w:tc>
          <w:tcPr>
            <w:tcW w:w="1276" w:type="dxa"/>
            <w:vAlign w:val="center"/>
          </w:tcPr>
          <w:p w:rsidR="0091449D" w:rsidRPr="0069466F" w:rsidRDefault="0091449D" w:rsidP="009A2B2C">
            <w:pPr>
              <w:spacing w:line="280" w:lineRule="exact"/>
              <w:rPr>
                <w:sz w:val="20"/>
                <w:szCs w:val="18"/>
              </w:rPr>
            </w:pPr>
            <w:r w:rsidRPr="0069466F">
              <w:rPr>
                <w:rFonts w:hint="eastAsia"/>
                <w:sz w:val="20"/>
                <w:szCs w:val="18"/>
              </w:rPr>
              <w:t>(</w:t>
            </w:r>
            <w:r w:rsidRPr="0069466F">
              <w:rPr>
                <w:rFonts w:hint="eastAsia"/>
                <w:sz w:val="20"/>
                <w:szCs w:val="18"/>
              </w:rPr>
              <w:t>参考</w:t>
            </w:r>
            <w:r w:rsidRPr="0069466F">
              <w:rPr>
                <w:rFonts w:hint="eastAsia"/>
                <w:sz w:val="20"/>
                <w:szCs w:val="18"/>
              </w:rPr>
              <w:t>)</w:t>
            </w:r>
            <w:r w:rsidRPr="0069466F">
              <w:rPr>
                <w:rFonts w:hint="eastAsia"/>
                <w:sz w:val="20"/>
                <w:szCs w:val="18"/>
              </w:rPr>
              <w:t>平成</w:t>
            </w:r>
            <w:r w:rsidRPr="0069466F">
              <w:rPr>
                <w:rFonts w:hint="eastAsia"/>
                <w:sz w:val="20"/>
                <w:szCs w:val="18"/>
              </w:rPr>
              <w:t>26</w:t>
            </w:r>
            <w:r w:rsidRPr="0069466F">
              <w:rPr>
                <w:rFonts w:hint="eastAsia"/>
                <w:sz w:val="20"/>
                <w:szCs w:val="18"/>
              </w:rPr>
              <w:t>年度実績</w:t>
            </w:r>
          </w:p>
        </w:tc>
        <w:tc>
          <w:tcPr>
            <w:tcW w:w="1276" w:type="dxa"/>
            <w:vAlign w:val="center"/>
          </w:tcPr>
          <w:p w:rsidR="0091449D" w:rsidRPr="0069466F" w:rsidRDefault="0091449D" w:rsidP="009A2B2C">
            <w:pPr>
              <w:spacing w:line="280" w:lineRule="exact"/>
              <w:jc w:val="center"/>
              <w:rPr>
                <w:sz w:val="20"/>
                <w:szCs w:val="18"/>
              </w:rPr>
            </w:pPr>
            <w:r w:rsidRPr="0069466F">
              <w:rPr>
                <w:rFonts w:hint="eastAsia"/>
                <w:sz w:val="20"/>
                <w:szCs w:val="18"/>
              </w:rPr>
              <w:t>削減目標量</w:t>
            </w:r>
          </w:p>
        </w:tc>
        <w:tc>
          <w:tcPr>
            <w:tcW w:w="1276" w:type="dxa"/>
            <w:vAlign w:val="center"/>
          </w:tcPr>
          <w:p w:rsidR="0091449D" w:rsidRPr="0069466F" w:rsidRDefault="0091449D" w:rsidP="009A2B2C">
            <w:pPr>
              <w:spacing w:line="280" w:lineRule="exact"/>
              <w:rPr>
                <w:sz w:val="20"/>
                <w:szCs w:val="18"/>
              </w:rPr>
            </w:pPr>
            <w:r w:rsidRPr="0069466F">
              <w:rPr>
                <w:rFonts w:hint="eastAsia"/>
                <w:sz w:val="20"/>
                <w:szCs w:val="18"/>
              </w:rPr>
              <w:t>(</w:t>
            </w:r>
            <w:r w:rsidRPr="0069466F">
              <w:rPr>
                <w:rFonts w:hint="eastAsia"/>
                <w:sz w:val="20"/>
                <w:szCs w:val="18"/>
              </w:rPr>
              <w:t>参考</w:t>
            </w:r>
            <w:r w:rsidRPr="0069466F">
              <w:rPr>
                <w:rFonts w:hint="eastAsia"/>
                <w:sz w:val="20"/>
                <w:szCs w:val="18"/>
              </w:rPr>
              <w:t>)</w:t>
            </w:r>
            <w:r w:rsidRPr="0069466F">
              <w:rPr>
                <w:rFonts w:hint="eastAsia"/>
                <w:sz w:val="20"/>
                <w:szCs w:val="18"/>
              </w:rPr>
              <w:t>平成</w:t>
            </w:r>
            <w:r w:rsidRPr="0069466F">
              <w:rPr>
                <w:rFonts w:hint="eastAsia"/>
                <w:sz w:val="20"/>
                <w:szCs w:val="18"/>
              </w:rPr>
              <w:t>26</w:t>
            </w:r>
            <w:r w:rsidRPr="0069466F">
              <w:rPr>
                <w:rFonts w:hint="eastAsia"/>
                <w:sz w:val="20"/>
                <w:szCs w:val="18"/>
              </w:rPr>
              <w:t>年度実績</w:t>
            </w:r>
          </w:p>
        </w:tc>
        <w:bookmarkStart w:id="0" w:name="_GoBack"/>
        <w:bookmarkEnd w:id="0"/>
      </w:tr>
      <w:tr w:rsidR="0091449D" w:rsidTr="0091449D">
        <w:tc>
          <w:tcPr>
            <w:tcW w:w="1315" w:type="dxa"/>
          </w:tcPr>
          <w:p w:rsidR="0091449D" w:rsidRPr="0069466F" w:rsidRDefault="0091449D" w:rsidP="0091449D">
            <w:pPr>
              <w:spacing w:line="280" w:lineRule="exact"/>
              <w:jc w:val="center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生活排水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200" w:firstLine="44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３６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200" w:firstLine="44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３９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200" w:firstLine="44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２８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200" w:firstLine="44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２９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100" w:firstLine="22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１．７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100" w:firstLine="22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１．８</w:t>
            </w:r>
          </w:p>
        </w:tc>
      </w:tr>
      <w:tr w:rsidR="0091449D" w:rsidTr="0091449D">
        <w:tc>
          <w:tcPr>
            <w:tcW w:w="1315" w:type="dxa"/>
          </w:tcPr>
          <w:p w:rsidR="0091449D" w:rsidRPr="0069466F" w:rsidRDefault="0091449D" w:rsidP="0091449D">
            <w:pPr>
              <w:spacing w:line="280" w:lineRule="exact"/>
              <w:jc w:val="center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産業排水</w:t>
            </w:r>
          </w:p>
        </w:tc>
        <w:tc>
          <w:tcPr>
            <w:tcW w:w="1276" w:type="dxa"/>
          </w:tcPr>
          <w:p w:rsidR="0091449D" w:rsidRPr="0069466F" w:rsidRDefault="0091449D" w:rsidP="00A42B9C">
            <w:pPr>
              <w:spacing w:line="280" w:lineRule="exact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 xml:space="preserve">　　　６</w:t>
            </w:r>
          </w:p>
        </w:tc>
        <w:tc>
          <w:tcPr>
            <w:tcW w:w="1276" w:type="dxa"/>
          </w:tcPr>
          <w:p w:rsidR="0091449D" w:rsidRPr="0069466F" w:rsidRDefault="0091449D" w:rsidP="00A42B9C">
            <w:pPr>
              <w:spacing w:line="280" w:lineRule="exact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 xml:space="preserve">　　　６</w:t>
            </w:r>
          </w:p>
        </w:tc>
        <w:tc>
          <w:tcPr>
            <w:tcW w:w="1276" w:type="dxa"/>
          </w:tcPr>
          <w:p w:rsidR="0091449D" w:rsidRPr="0069466F" w:rsidRDefault="0091449D" w:rsidP="00A42B9C">
            <w:pPr>
              <w:spacing w:line="280" w:lineRule="exact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 xml:space="preserve">　　　６</w:t>
            </w:r>
          </w:p>
        </w:tc>
        <w:tc>
          <w:tcPr>
            <w:tcW w:w="1276" w:type="dxa"/>
          </w:tcPr>
          <w:p w:rsidR="0091449D" w:rsidRPr="0069466F" w:rsidRDefault="0091449D" w:rsidP="00A42B9C">
            <w:pPr>
              <w:spacing w:line="280" w:lineRule="exact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 xml:space="preserve">　　　６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100" w:firstLine="22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０．４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100" w:firstLine="22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０．４</w:t>
            </w:r>
          </w:p>
        </w:tc>
      </w:tr>
      <w:tr w:rsidR="0091449D" w:rsidTr="0091449D">
        <w:tc>
          <w:tcPr>
            <w:tcW w:w="1315" w:type="dxa"/>
          </w:tcPr>
          <w:p w:rsidR="0091449D" w:rsidRPr="0069466F" w:rsidRDefault="0091449D" w:rsidP="0091449D">
            <w:pPr>
              <w:spacing w:line="280" w:lineRule="exact"/>
              <w:jc w:val="center"/>
              <w:rPr>
                <w:sz w:val="22"/>
                <w:szCs w:val="18"/>
              </w:rPr>
            </w:pPr>
            <w:r w:rsidRPr="00266356">
              <w:rPr>
                <w:rFonts w:hint="eastAsia"/>
                <w:kern w:val="0"/>
                <w:sz w:val="22"/>
                <w:szCs w:val="18"/>
                <w:fitText w:val="720" w:id="1377519617"/>
              </w:rPr>
              <w:t>その他</w:t>
            </w:r>
          </w:p>
        </w:tc>
        <w:tc>
          <w:tcPr>
            <w:tcW w:w="1276" w:type="dxa"/>
          </w:tcPr>
          <w:p w:rsidR="0091449D" w:rsidRPr="0069466F" w:rsidRDefault="0091449D" w:rsidP="00A42B9C">
            <w:pPr>
              <w:spacing w:line="280" w:lineRule="exact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 xml:space="preserve">　　　４</w:t>
            </w:r>
          </w:p>
        </w:tc>
        <w:tc>
          <w:tcPr>
            <w:tcW w:w="1276" w:type="dxa"/>
          </w:tcPr>
          <w:p w:rsidR="0091449D" w:rsidRPr="0069466F" w:rsidRDefault="0091449D" w:rsidP="00A42B9C">
            <w:pPr>
              <w:spacing w:line="280" w:lineRule="exact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 xml:space="preserve">　　　４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200" w:firstLine="44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１４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200" w:firstLine="44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１４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100" w:firstLine="22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０．８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100" w:firstLine="22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０．８</w:t>
            </w:r>
          </w:p>
        </w:tc>
      </w:tr>
      <w:tr w:rsidR="0091449D" w:rsidTr="0091449D">
        <w:tc>
          <w:tcPr>
            <w:tcW w:w="1315" w:type="dxa"/>
          </w:tcPr>
          <w:p w:rsidR="0091449D" w:rsidRPr="0069466F" w:rsidRDefault="0091449D" w:rsidP="0091449D">
            <w:pPr>
              <w:spacing w:line="280" w:lineRule="exact"/>
              <w:jc w:val="center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合　　計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200" w:firstLine="44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４６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200" w:firstLine="44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４９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200" w:firstLine="44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４８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200" w:firstLine="44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４９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100" w:firstLine="22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２．９</w:t>
            </w:r>
          </w:p>
        </w:tc>
        <w:tc>
          <w:tcPr>
            <w:tcW w:w="1276" w:type="dxa"/>
          </w:tcPr>
          <w:p w:rsidR="0091449D" w:rsidRPr="0069466F" w:rsidRDefault="0091449D" w:rsidP="0069466F">
            <w:pPr>
              <w:spacing w:line="280" w:lineRule="exact"/>
              <w:ind w:firstLineChars="100" w:firstLine="220"/>
              <w:rPr>
                <w:sz w:val="22"/>
                <w:szCs w:val="18"/>
              </w:rPr>
            </w:pPr>
            <w:r w:rsidRPr="0069466F">
              <w:rPr>
                <w:rFonts w:hint="eastAsia"/>
                <w:sz w:val="22"/>
                <w:szCs w:val="18"/>
              </w:rPr>
              <w:t>３．０</w:t>
            </w:r>
          </w:p>
        </w:tc>
      </w:tr>
    </w:tbl>
    <w:p w:rsidR="00E7422C" w:rsidRDefault="00E7422C" w:rsidP="00D053C7">
      <w:pPr>
        <w:spacing w:line="280" w:lineRule="exact"/>
        <w:rPr>
          <w:sz w:val="22"/>
        </w:rPr>
      </w:pPr>
    </w:p>
    <w:p w:rsidR="00A42B9C" w:rsidRDefault="00A42B9C" w:rsidP="00A42B9C">
      <w:pPr>
        <w:spacing w:line="80" w:lineRule="exact"/>
        <w:rPr>
          <w:sz w:val="22"/>
        </w:rPr>
      </w:pPr>
    </w:p>
    <w:p w:rsidR="00E7422C" w:rsidRDefault="00E7422C" w:rsidP="00A42B9C">
      <w:pPr>
        <w:spacing w:line="80" w:lineRule="exact"/>
        <w:rPr>
          <w:sz w:val="22"/>
        </w:rPr>
      </w:pPr>
    </w:p>
    <w:p w:rsidR="00E7422C" w:rsidRDefault="00E7422C" w:rsidP="00A42B9C">
      <w:pPr>
        <w:spacing w:line="80" w:lineRule="exact"/>
        <w:rPr>
          <w:rFonts w:ascii="Meiryo UI" w:eastAsia="Meiryo UI" w:hAnsi="Meiryo UI" w:cs="Meiryo UI"/>
          <w:b/>
          <w:sz w:val="22"/>
        </w:rPr>
      </w:pPr>
    </w:p>
    <w:p w:rsidR="00A42B9C" w:rsidRDefault="00D053C7" w:rsidP="00A42B9C">
      <w:pPr>
        <w:spacing w:line="320" w:lineRule="exact"/>
        <w:rPr>
          <w:rFonts w:ascii="Meiryo UI" w:eastAsia="Meiryo UI" w:hAnsi="Meiryo UI" w:cs="Meiryo UI"/>
          <w:b/>
          <w:color w:val="FFFFFF" w:themeColor="background1"/>
          <w:sz w:val="22"/>
        </w:rPr>
      </w:pPr>
      <w:r>
        <w:rPr>
          <w:rFonts w:ascii="Meiryo UI" w:eastAsia="Meiryo UI" w:hAnsi="Meiryo UI" w:cs="Meiryo UI" w:hint="eastAsia"/>
          <w:b/>
          <w:color w:val="FFFFFF" w:themeColor="background1"/>
          <w:sz w:val="22"/>
          <w:highlight w:val="blue"/>
        </w:rPr>
        <w:t xml:space="preserve">　削減目標量の達成のための方途 </w:t>
      </w:r>
      <w:r w:rsidR="00A42B9C">
        <w:rPr>
          <w:rFonts w:ascii="Meiryo UI" w:eastAsia="Meiryo UI" w:hAnsi="Meiryo UI" w:cs="Meiryo UI" w:hint="eastAsia"/>
          <w:b/>
          <w:color w:val="FFFFFF" w:themeColor="background1"/>
          <w:sz w:val="22"/>
          <w:highlight w:val="blue"/>
        </w:rPr>
        <w:t xml:space="preserve"> </w:t>
      </w:r>
    </w:p>
    <w:p w:rsidR="00A42B9C" w:rsidRPr="00D053C7" w:rsidRDefault="00A42B9C" w:rsidP="00951B4F">
      <w:pPr>
        <w:spacing w:line="40" w:lineRule="exact"/>
        <w:rPr>
          <w:rFonts w:ascii="Meiryo UI" w:eastAsia="Meiryo UI" w:hAnsi="Meiryo UI" w:cs="Meiryo UI"/>
          <w:b/>
          <w:sz w:val="22"/>
        </w:rPr>
      </w:pPr>
    </w:p>
    <w:p w:rsidR="00951B4F" w:rsidRDefault="00951B4F" w:rsidP="00951B4F">
      <w:pPr>
        <w:spacing w:line="40" w:lineRule="exact"/>
        <w:ind w:leftChars="150" w:left="315"/>
        <w:rPr>
          <w:sz w:val="22"/>
        </w:rPr>
      </w:pPr>
    </w:p>
    <w:p w:rsidR="005D7E9D" w:rsidRPr="00A57B09" w:rsidRDefault="005D7E9D" w:rsidP="009F47E1">
      <w:pPr>
        <w:spacing w:line="360" w:lineRule="exact"/>
        <w:ind w:leftChars="150" w:left="315"/>
        <w:rPr>
          <w:sz w:val="22"/>
        </w:rPr>
      </w:pPr>
      <w:r w:rsidRPr="00A57B09">
        <w:rPr>
          <w:rFonts w:hint="eastAsia"/>
          <w:sz w:val="22"/>
        </w:rPr>
        <w:t>大阪湾における窒素及びりんの環境基準の達成状況</w:t>
      </w:r>
      <w:r w:rsidR="009F47E1" w:rsidRPr="00A57B09">
        <w:rPr>
          <w:rFonts w:hint="eastAsia"/>
          <w:sz w:val="22"/>
        </w:rPr>
        <w:t>を勘案しつつ、特に有機汚濁を解消することを目途として</w:t>
      </w:r>
      <w:r w:rsidRPr="00A57B09">
        <w:rPr>
          <w:rFonts w:hint="eastAsia"/>
          <w:sz w:val="22"/>
        </w:rPr>
        <w:t>施策を推進すること</w:t>
      </w:r>
      <w:r w:rsidR="009F47E1" w:rsidRPr="00A57B09">
        <w:rPr>
          <w:rFonts w:hint="eastAsia"/>
          <w:sz w:val="22"/>
        </w:rPr>
        <w:t>とし、</w:t>
      </w:r>
    </w:p>
    <w:p w:rsidR="002D64EB" w:rsidRPr="00FD6F35" w:rsidRDefault="002D64EB" w:rsidP="00FD6F35">
      <w:pPr>
        <w:spacing w:line="360" w:lineRule="exact"/>
        <w:ind w:leftChars="250" w:left="745" w:rightChars="-136" w:right="-286" w:hangingChars="100" w:hanging="220"/>
        <w:rPr>
          <w:sz w:val="22"/>
        </w:rPr>
      </w:pPr>
      <w:r w:rsidRPr="00FD6F35">
        <w:rPr>
          <w:rFonts w:hint="eastAsia"/>
          <w:sz w:val="22"/>
        </w:rPr>
        <w:t>・汚濁負荷量</w:t>
      </w:r>
      <w:r w:rsidR="00FD6F35" w:rsidRPr="00FD6F35">
        <w:rPr>
          <w:rFonts w:hint="eastAsia"/>
          <w:sz w:val="22"/>
        </w:rPr>
        <w:t>全体</w:t>
      </w:r>
      <w:r w:rsidRPr="00FD6F35">
        <w:rPr>
          <w:rFonts w:hint="eastAsia"/>
          <w:sz w:val="22"/>
        </w:rPr>
        <w:t>に占める</w:t>
      </w:r>
      <w:r w:rsidR="00FD6F35" w:rsidRPr="00FD6F35">
        <w:rPr>
          <w:rFonts w:hint="eastAsia"/>
          <w:sz w:val="22"/>
        </w:rPr>
        <w:t>生活</w:t>
      </w:r>
      <w:r w:rsidRPr="00FD6F35">
        <w:rPr>
          <w:rFonts w:hint="eastAsia"/>
          <w:sz w:val="22"/>
        </w:rPr>
        <w:t>雑排水</w:t>
      </w:r>
      <w:r w:rsidR="00FD6F35" w:rsidRPr="00FD6F35">
        <w:rPr>
          <w:rFonts w:hint="eastAsia"/>
          <w:sz w:val="22"/>
        </w:rPr>
        <w:t>による汚濁負荷量の</w:t>
      </w:r>
      <w:r w:rsidRPr="00FD6F35">
        <w:rPr>
          <w:rFonts w:hint="eastAsia"/>
          <w:sz w:val="22"/>
        </w:rPr>
        <w:t>割合が高いこと</w:t>
      </w:r>
      <w:r w:rsidR="00A57B09" w:rsidRPr="00FD6F35">
        <w:rPr>
          <w:rFonts w:hint="eastAsia"/>
          <w:sz w:val="22"/>
        </w:rPr>
        <w:t>を踏まえた、</w:t>
      </w:r>
      <w:r w:rsidR="005D7E9D" w:rsidRPr="00FD6F35">
        <w:rPr>
          <w:rFonts w:hint="eastAsia"/>
          <w:sz w:val="22"/>
        </w:rPr>
        <w:t>下水道の整備の推進や接続の促進、合併処理浄化槽の普及の促進</w:t>
      </w:r>
      <w:r w:rsidRPr="00FD6F35">
        <w:rPr>
          <w:rFonts w:hint="eastAsia"/>
          <w:sz w:val="22"/>
        </w:rPr>
        <w:t>等の生活排水対策</w:t>
      </w:r>
      <w:r w:rsidR="00A57B09" w:rsidRPr="00FD6F35">
        <w:rPr>
          <w:rFonts w:hint="eastAsia"/>
          <w:sz w:val="22"/>
        </w:rPr>
        <w:t>の</w:t>
      </w:r>
      <w:r w:rsidR="009F47E1" w:rsidRPr="00FD6F35">
        <w:rPr>
          <w:rFonts w:hint="eastAsia"/>
          <w:sz w:val="22"/>
        </w:rPr>
        <w:t>重点的</w:t>
      </w:r>
      <w:r w:rsidR="00A57B09" w:rsidRPr="00FD6F35">
        <w:rPr>
          <w:rFonts w:hint="eastAsia"/>
          <w:sz w:val="22"/>
        </w:rPr>
        <w:t>な</w:t>
      </w:r>
      <w:r w:rsidR="005D7E9D" w:rsidRPr="00FD6F35">
        <w:rPr>
          <w:rFonts w:hint="eastAsia"/>
          <w:sz w:val="22"/>
        </w:rPr>
        <w:t>推進</w:t>
      </w:r>
    </w:p>
    <w:p w:rsidR="002D64EB" w:rsidRPr="00FD6F35" w:rsidRDefault="002D64EB" w:rsidP="009F47E1">
      <w:pPr>
        <w:spacing w:line="360" w:lineRule="exact"/>
        <w:ind w:leftChars="250" w:left="745" w:hangingChars="100" w:hanging="220"/>
        <w:rPr>
          <w:sz w:val="22"/>
        </w:rPr>
      </w:pPr>
      <w:r w:rsidRPr="00FD6F35">
        <w:rPr>
          <w:rFonts w:hint="eastAsia"/>
          <w:sz w:val="22"/>
        </w:rPr>
        <w:t>・</w:t>
      </w:r>
      <w:r w:rsidR="00FD6F35" w:rsidRPr="00FD6F35">
        <w:rPr>
          <w:rFonts w:hint="eastAsia"/>
          <w:sz w:val="22"/>
        </w:rPr>
        <w:t>工場・</w:t>
      </w:r>
      <w:r w:rsidRPr="00FD6F35">
        <w:rPr>
          <w:rFonts w:hint="eastAsia"/>
          <w:sz w:val="22"/>
        </w:rPr>
        <w:t>事業場からの汚濁負荷</w:t>
      </w:r>
      <w:r w:rsidR="00FD6F35" w:rsidRPr="00FD6F35">
        <w:rPr>
          <w:rFonts w:hint="eastAsia"/>
          <w:sz w:val="22"/>
        </w:rPr>
        <w:t>量</w:t>
      </w:r>
      <w:r w:rsidRPr="00FD6F35">
        <w:rPr>
          <w:rFonts w:hint="eastAsia"/>
          <w:sz w:val="22"/>
        </w:rPr>
        <w:t>の削減指導等</w:t>
      </w:r>
      <w:r w:rsidR="005D7E9D" w:rsidRPr="00FD6F35">
        <w:rPr>
          <w:rFonts w:hint="eastAsia"/>
          <w:sz w:val="22"/>
        </w:rPr>
        <w:t>の産業排水対策</w:t>
      </w:r>
      <w:r w:rsidR="00A57B09" w:rsidRPr="00FD6F35">
        <w:rPr>
          <w:rFonts w:hint="eastAsia"/>
          <w:sz w:val="22"/>
        </w:rPr>
        <w:t>の</w:t>
      </w:r>
      <w:r w:rsidR="005D7E9D" w:rsidRPr="00FD6F35">
        <w:rPr>
          <w:rFonts w:hint="eastAsia"/>
          <w:sz w:val="22"/>
        </w:rPr>
        <w:t>推進</w:t>
      </w:r>
    </w:p>
    <w:p w:rsidR="00D053C7" w:rsidRPr="00FD6F35" w:rsidRDefault="005D7E9D" w:rsidP="009F47E1">
      <w:pPr>
        <w:spacing w:line="360" w:lineRule="exact"/>
        <w:ind w:firstLineChars="150" w:firstLine="330"/>
        <w:rPr>
          <w:sz w:val="22"/>
        </w:rPr>
      </w:pPr>
      <w:r w:rsidRPr="00FD6F35">
        <w:rPr>
          <w:rFonts w:hint="eastAsia"/>
          <w:sz w:val="22"/>
        </w:rPr>
        <w:t>など</w:t>
      </w:r>
      <w:r w:rsidR="009F47E1" w:rsidRPr="00FD6F35">
        <w:rPr>
          <w:rFonts w:hint="eastAsia"/>
          <w:sz w:val="22"/>
        </w:rPr>
        <w:t>、</w:t>
      </w:r>
      <w:r w:rsidRPr="00FD6F35">
        <w:rPr>
          <w:rFonts w:hint="eastAsia"/>
          <w:sz w:val="22"/>
        </w:rPr>
        <w:t>削減目標量の達成</w:t>
      </w:r>
      <w:r w:rsidR="009F47E1" w:rsidRPr="00FD6F35">
        <w:rPr>
          <w:rFonts w:hint="eastAsia"/>
          <w:sz w:val="22"/>
        </w:rPr>
        <w:t>を図るための方途を示して</w:t>
      </w:r>
      <w:r w:rsidRPr="00FD6F35">
        <w:rPr>
          <w:rFonts w:hint="eastAsia"/>
          <w:sz w:val="22"/>
        </w:rPr>
        <w:t>います。</w:t>
      </w:r>
    </w:p>
    <w:p w:rsidR="005D7E9D" w:rsidRPr="00FD6F35" w:rsidRDefault="005D7E9D" w:rsidP="00D053C7">
      <w:pPr>
        <w:spacing w:line="280" w:lineRule="exact"/>
        <w:rPr>
          <w:sz w:val="22"/>
        </w:rPr>
      </w:pPr>
    </w:p>
    <w:p w:rsidR="00A42B9C" w:rsidRDefault="00A42B9C" w:rsidP="00A42B9C">
      <w:pPr>
        <w:spacing w:line="80" w:lineRule="exact"/>
        <w:ind w:leftChars="180" w:left="378"/>
        <w:rPr>
          <w:sz w:val="22"/>
        </w:rPr>
      </w:pPr>
    </w:p>
    <w:p w:rsidR="00951B4F" w:rsidRDefault="00951B4F" w:rsidP="00A42B9C">
      <w:pPr>
        <w:spacing w:line="80" w:lineRule="exact"/>
        <w:ind w:leftChars="180" w:left="378"/>
        <w:rPr>
          <w:sz w:val="22"/>
        </w:rPr>
      </w:pPr>
    </w:p>
    <w:p w:rsidR="00E0436D" w:rsidRDefault="005C4E08" w:rsidP="005C4E08">
      <w:pPr>
        <w:spacing w:line="320" w:lineRule="exact"/>
        <w:rPr>
          <w:rFonts w:ascii="Meiryo UI" w:eastAsia="Meiryo UI" w:hAnsi="Meiryo UI" w:cs="Meiryo UI"/>
          <w:b/>
          <w:color w:val="FFFFFF" w:themeColor="background1"/>
          <w:sz w:val="22"/>
        </w:rPr>
      </w:pPr>
      <w:r w:rsidRPr="00722F8C">
        <w:rPr>
          <w:rFonts w:ascii="Meiryo UI" w:eastAsia="Meiryo UI" w:hAnsi="Meiryo UI" w:cs="Meiryo UI" w:hint="eastAsia"/>
          <w:b/>
          <w:color w:val="FFFFFF" w:themeColor="background1"/>
          <w:sz w:val="22"/>
          <w:highlight w:val="blue"/>
        </w:rPr>
        <w:t xml:space="preserve">　</w:t>
      </w:r>
      <w:r w:rsidR="00D053C7">
        <w:rPr>
          <w:rFonts w:ascii="Meiryo UI" w:eastAsia="Meiryo UI" w:hAnsi="Meiryo UI" w:cs="Meiryo UI" w:hint="eastAsia"/>
          <w:b/>
          <w:color w:val="FFFFFF" w:themeColor="background1"/>
          <w:sz w:val="22"/>
          <w:highlight w:val="blue"/>
        </w:rPr>
        <w:t>その他汚濁負荷量の総量の削減及び水環境の</w:t>
      </w:r>
      <w:r w:rsidR="005D7E9D">
        <w:rPr>
          <w:rFonts w:ascii="Meiryo UI" w:eastAsia="Meiryo UI" w:hAnsi="Meiryo UI" w:cs="Meiryo UI" w:hint="eastAsia"/>
          <w:b/>
          <w:color w:val="FFFFFF" w:themeColor="background1"/>
          <w:sz w:val="22"/>
          <w:highlight w:val="blue"/>
        </w:rPr>
        <w:t>改善に関し必要な事項</w:t>
      </w:r>
      <w:r w:rsidRPr="00722F8C">
        <w:rPr>
          <w:rFonts w:ascii="Meiryo UI" w:eastAsia="Meiryo UI" w:hAnsi="Meiryo UI" w:cs="Meiryo UI" w:hint="eastAsia"/>
          <w:b/>
          <w:color w:val="FFFFFF" w:themeColor="background1"/>
          <w:sz w:val="22"/>
          <w:highlight w:val="blue"/>
        </w:rPr>
        <w:t xml:space="preserve">　</w:t>
      </w:r>
    </w:p>
    <w:p w:rsidR="00951B4F" w:rsidRPr="005C4E08" w:rsidRDefault="00951B4F" w:rsidP="00951B4F">
      <w:pPr>
        <w:spacing w:line="40" w:lineRule="exact"/>
        <w:rPr>
          <w:rFonts w:ascii="Meiryo UI" w:eastAsia="Meiryo UI" w:hAnsi="Meiryo UI" w:cs="Meiryo UI"/>
          <w:b/>
          <w:sz w:val="22"/>
        </w:rPr>
      </w:pPr>
    </w:p>
    <w:p w:rsidR="005D7E9D" w:rsidRDefault="005D7E9D" w:rsidP="005D7E9D">
      <w:pPr>
        <w:spacing w:line="360" w:lineRule="exact"/>
        <w:ind w:leftChars="150" w:left="315"/>
        <w:rPr>
          <w:rFonts w:asciiTheme="minorEastAsia" w:hAnsiTheme="minorEastAsia"/>
          <w:sz w:val="22"/>
        </w:rPr>
      </w:pPr>
      <w:r w:rsidRPr="005D7E9D">
        <w:rPr>
          <w:rFonts w:asciiTheme="minorEastAsia" w:hAnsiTheme="minorEastAsia" w:hint="eastAsia"/>
          <w:sz w:val="22"/>
        </w:rPr>
        <w:t>「瀬戸内海の環境の保全に関する大阪府計画」（平成28年10月策定）に掲</w:t>
      </w:r>
      <w:r>
        <w:rPr>
          <w:rFonts w:asciiTheme="minorEastAsia" w:hAnsiTheme="minorEastAsia" w:hint="eastAsia"/>
          <w:sz w:val="22"/>
        </w:rPr>
        <w:t>げる施策を踏まえ、</w:t>
      </w:r>
    </w:p>
    <w:p w:rsidR="005D7E9D" w:rsidRDefault="005D7E9D" w:rsidP="005D7E9D">
      <w:pPr>
        <w:spacing w:line="360" w:lineRule="exact"/>
        <w:ind w:leftChars="150" w:left="31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="00F46DEF">
        <w:rPr>
          <w:rFonts w:asciiTheme="minorEastAsia" w:hAnsiTheme="minorEastAsia" w:hint="eastAsia"/>
          <w:sz w:val="22"/>
        </w:rPr>
        <w:t>藻場、干潟等の保全、再生及び創出</w:t>
      </w:r>
    </w:p>
    <w:p w:rsidR="005D7E9D" w:rsidRDefault="00F46DEF" w:rsidP="005D7E9D">
      <w:pPr>
        <w:spacing w:line="360" w:lineRule="exact"/>
        <w:ind w:leftChars="150" w:left="31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・生物による水質浄化機能の向上等</w:t>
      </w:r>
    </w:p>
    <w:p w:rsidR="005D7E9D" w:rsidRDefault="005D7E9D" w:rsidP="005D7E9D">
      <w:pPr>
        <w:spacing w:line="360" w:lineRule="exact"/>
        <w:ind w:leftChars="150" w:left="31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="00F46DEF">
        <w:rPr>
          <w:rFonts w:asciiTheme="minorEastAsia" w:hAnsiTheme="minorEastAsia" w:hint="eastAsia"/>
          <w:sz w:val="22"/>
        </w:rPr>
        <w:t>底質環境の改善に向けた</w:t>
      </w:r>
      <w:r>
        <w:rPr>
          <w:rFonts w:asciiTheme="minorEastAsia" w:hAnsiTheme="minorEastAsia" w:hint="eastAsia"/>
          <w:sz w:val="22"/>
        </w:rPr>
        <w:t>取組の推進</w:t>
      </w:r>
    </w:p>
    <w:p w:rsidR="00AC20D5" w:rsidRPr="00E0436D" w:rsidRDefault="005D7E9D" w:rsidP="005D7E9D">
      <w:pPr>
        <w:spacing w:line="360" w:lineRule="exact"/>
        <w:ind w:leftChars="150" w:left="31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など、そ</w:t>
      </w:r>
      <w:r w:rsidRPr="005D7E9D">
        <w:rPr>
          <w:rFonts w:asciiTheme="minorEastAsia" w:hAnsiTheme="minorEastAsia" w:hint="eastAsia"/>
          <w:sz w:val="22"/>
        </w:rPr>
        <w:t>の他汚濁負荷量の総量の削減及び水環境の改善に関し必要な事項</w:t>
      </w:r>
      <w:r>
        <w:rPr>
          <w:rFonts w:asciiTheme="minorEastAsia" w:hAnsiTheme="minorEastAsia" w:hint="eastAsia"/>
          <w:sz w:val="22"/>
        </w:rPr>
        <w:t>を示しています。</w:t>
      </w:r>
    </w:p>
    <w:sectPr w:rsidR="00AC20D5" w:rsidRPr="00E0436D" w:rsidSect="00FB4C0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56" w:rsidRDefault="00266356" w:rsidP="00320DE8">
      <w:r>
        <w:separator/>
      </w:r>
    </w:p>
  </w:endnote>
  <w:endnote w:type="continuationSeparator" w:id="0">
    <w:p w:rsidR="00266356" w:rsidRDefault="00266356" w:rsidP="0032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56" w:rsidRDefault="00266356" w:rsidP="00320DE8">
      <w:r>
        <w:separator/>
      </w:r>
    </w:p>
  </w:footnote>
  <w:footnote w:type="continuationSeparator" w:id="0">
    <w:p w:rsidR="00266356" w:rsidRDefault="00266356" w:rsidP="00320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84"/>
    <w:rsid w:val="00000ABB"/>
    <w:rsid w:val="00001F25"/>
    <w:rsid w:val="00007A1E"/>
    <w:rsid w:val="000376F7"/>
    <w:rsid w:val="00121BB6"/>
    <w:rsid w:val="00143BA4"/>
    <w:rsid w:val="00151F31"/>
    <w:rsid w:val="001702B0"/>
    <w:rsid w:val="00176CDA"/>
    <w:rsid w:val="001E23A6"/>
    <w:rsid w:val="002107B9"/>
    <w:rsid w:val="00265D84"/>
    <w:rsid w:val="00266356"/>
    <w:rsid w:val="002C53AC"/>
    <w:rsid w:val="002C588E"/>
    <w:rsid w:val="002D64EB"/>
    <w:rsid w:val="00320DE8"/>
    <w:rsid w:val="0038137F"/>
    <w:rsid w:val="003A37E3"/>
    <w:rsid w:val="003E7BE8"/>
    <w:rsid w:val="004078E4"/>
    <w:rsid w:val="00473DFB"/>
    <w:rsid w:val="004E0E2D"/>
    <w:rsid w:val="005447F6"/>
    <w:rsid w:val="00561A17"/>
    <w:rsid w:val="00581130"/>
    <w:rsid w:val="005C4E08"/>
    <w:rsid w:val="005D58B3"/>
    <w:rsid w:val="005D7E9D"/>
    <w:rsid w:val="0062142B"/>
    <w:rsid w:val="00691CE9"/>
    <w:rsid w:val="006937DA"/>
    <w:rsid w:val="0069466F"/>
    <w:rsid w:val="00722F8C"/>
    <w:rsid w:val="0074530B"/>
    <w:rsid w:val="007503BB"/>
    <w:rsid w:val="007A6467"/>
    <w:rsid w:val="007C0A7B"/>
    <w:rsid w:val="007F248C"/>
    <w:rsid w:val="008227EC"/>
    <w:rsid w:val="00850407"/>
    <w:rsid w:val="00897E0D"/>
    <w:rsid w:val="008C34F5"/>
    <w:rsid w:val="00912AB9"/>
    <w:rsid w:val="0091449D"/>
    <w:rsid w:val="009218BA"/>
    <w:rsid w:val="00951B4F"/>
    <w:rsid w:val="009635D2"/>
    <w:rsid w:val="009F47E1"/>
    <w:rsid w:val="00A0545F"/>
    <w:rsid w:val="00A3466C"/>
    <w:rsid w:val="00A36C57"/>
    <w:rsid w:val="00A42B9C"/>
    <w:rsid w:val="00A46373"/>
    <w:rsid w:val="00A52796"/>
    <w:rsid w:val="00A567E9"/>
    <w:rsid w:val="00A57B09"/>
    <w:rsid w:val="00AA5EB0"/>
    <w:rsid w:val="00AC20D5"/>
    <w:rsid w:val="00B116AA"/>
    <w:rsid w:val="00B94F2A"/>
    <w:rsid w:val="00C50400"/>
    <w:rsid w:val="00D053C7"/>
    <w:rsid w:val="00D30765"/>
    <w:rsid w:val="00DD1630"/>
    <w:rsid w:val="00E0436D"/>
    <w:rsid w:val="00E67358"/>
    <w:rsid w:val="00E7422C"/>
    <w:rsid w:val="00EB5F5A"/>
    <w:rsid w:val="00F16717"/>
    <w:rsid w:val="00F46DEF"/>
    <w:rsid w:val="00F70992"/>
    <w:rsid w:val="00FB4C07"/>
    <w:rsid w:val="00FC5162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65D8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65D84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26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DE8"/>
  </w:style>
  <w:style w:type="paragraph" w:styleId="a6">
    <w:name w:val="footer"/>
    <w:basedOn w:val="a"/>
    <w:link w:val="a7"/>
    <w:uiPriority w:val="99"/>
    <w:unhideWhenUsed/>
    <w:rsid w:val="00320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DE8"/>
  </w:style>
  <w:style w:type="paragraph" w:styleId="a8">
    <w:name w:val="List Paragraph"/>
    <w:basedOn w:val="a"/>
    <w:uiPriority w:val="34"/>
    <w:qFormat/>
    <w:rsid w:val="00FB4C07"/>
    <w:pPr>
      <w:ind w:leftChars="400" w:left="840"/>
    </w:pPr>
  </w:style>
  <w:style w:type="paragraph" w:styleId="a9">
    <w:name w:val="Plain Text"/>
    <w:basedOn w:val="a"/>
    <w:link w:val="aa"/>
    <w:rsid w:val="00FB4C07"/>
    <w:rPr>
      <w:rFonts w:ascii="ＭＳ 明朝" w:eastAsia="ＭＳ 明朝" w:hAnsi="Courier New" w:cs="Courier New"/>
      <w:kern w:val="0"/>
      <w:sz w:val="22"/>
      <w:szCs w:val="21"/>
    </w:rPr>
  </w:style>
  <w:style w:type="character" w:customStyle="1" w:styleId="aa">
    <w:name w:val="書式なし (文字)"/>
    <w:basedOn w:val="a0"/>
    <w:link w:val="a9"/>
    <w:rsid w:val="00FB4C07"/>
    <w:rPr>
      <w:rFonts w:ascii="ＭＳ 明朝" w:eastAsia="ＭＳ 明朝" w:hAnsi="Courier New" w:cs="Courier New"/>
      <w:kern w:val="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E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23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65D8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65D84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26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DE8"/>
  </w:style>
  <w:style w:type="paragraph" w:styleId="a6">
    <w:name w:val="footer"/>
    <w:basedOn w:val="a"/>
    <w:link w:val="a7"/>
    <w:uiPriority w:val="99"/>
    <w:unhideWhenUsed/>
    <w:rsid w:val="00320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DE8"/>
  </w:style>
  <w:style w:type="paragraph" w:styleId="a8">
    <w:name w:val="List Paragraph"/>
    <w:basedOn w:val="a"/>
    <w:uiPriority w:val="34"/>
    <w:qFormat/>
    <w:rsid w:val="00FB4C07"/>
    <w:pPr>
      <w:ind w:leftChars="400" w:left="840"/>
    </w:pPr>
  </w:style>
  <w:style w:type="paragraph" w:styleId="a9">
    <w:name w:val="Plain Text"/>
    <w:basedOn w:val="a"/>
    <w:link w:val="aa"/>
    <w:rsid w:val="00FB4C07"/>
    <w:rPr>
      <w:rFonts w:ascii="ＭＳ 明朝" w:eastAsia="ＭＳ 明朝" w:hAnsi="Courier New" w:cs="Courier New"/>
      <w:kern w:val="0"/>
      <w:sz w:val="22"/>
      <w:szCs w:val="21"/>
    </w:rPr>
  </w:style>
  <w:style w:type="character" w:customStyle="1" w:styleId="aa">
    <w:name w:val="書式なし (文字)"/>
    <w:basedOn w:val="a0"/>
    <w:link w:val="a9"/>
    <w:rsid w:val="00FB4C07"/>
    <w:rPr>
      <w:rFonts w:ascii="ＭＳ 明朝" w:eastAsia="ＭＳ 明朝" w:hAnsi="Courier New" w:cs="Courier New"/>
      <w:kern w:val="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E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23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田渕　敬一</dc:creator>
  <cp:lastModifiedBy>酒井　明子</cp:lastModifiedBy>
  <cp:revision>2</cp:revision>
  <cp:lastPrinted>2017-02-13T00:47:00Z</cp:lastPrinted>
  <dcterms:created xsi:type="dcterms:W3CDTF">2017-02-13T00:48:00Z</dcterms:created>
  <dcterms:modified xsi:type="dcterms:W3CDTF">2017-02-13T00:48:00Z</dcterms:modified>
</cp:coreProperties>
</file>