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52" w:rsidRDefault="00FB5052" w:rsidP="00FB5052">
      <w:pPr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:rsidR="00FB5052" w:rsidRDefault="00FB5052" w:rsidP="00FB50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771A4" w:rsidRPr="00D13D97" w:rsidRDefault="004D453C" w:rsidP="00D13D9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令和元年度一般会計補正予算（第３</w:t>
      </w:r>
      <w:r w:rsidR="00D13D97" w:rsidRPr="00D13D97">
        <w:rPr>
          <w:rFonts w:ascii="ＭＳ Ｐゴシック" w:eastAsia="ＭＳ Ｐゴシック" w:hAnsi="ＭＳ Ｐゴシック" w:hint="eastAsia"/>
          <w:b/>
          <w:sz w:val="28"/>
          <w:szCs w:val="28"/>
        </w:rPr>
        <w:t>号）案</w:t>
      </w:r>
      <w:r w:rsidR="00B44079">
        <w:rPr>
          <w:rFonts w:ascii="ＭＳ Ｐゴシック" w:eastAsia="ＭＳ Ｐゴシック" w:hAnsi="ＭＳ Ｐゴシック" w:hint="eastAsia"/>
          <w:b/>
          <w:sz w:val="28"/>
          <w:szCs w:val="28"/>
        </w:rPr>
        <w:t>の概要</w:t>
      </w:r>
    </w:p>
    <w:p w:rsidR="004B7118" w:rsidRDefault="004B7118" w:rsidP="003771A4">
      <w:pPr>
        <w:jc w:val="center"/>
        <w:rPr>
          <w:rFonts w:asciiTheme="minorEastAsia" w:hAnsiTheme="minorEastAsia"/>
          <w:sz w:val="24"/>
          <w:szCs w:val="24"/>
        </w:rPr>
      </w:pPr>
    </w:p>
    <w:p w:rsidR="00A1089D" w:rsidRDefault="00A1089D" w:rsidP="003771A4">
      <w:pPr>
        <w:jc w:val="center"/>
        <w:rPr>
          <w:rFonts w:asciiTheme="minorEastAsia" w:hAnsiTheme="minorEastAsia"/>
          <w:sz w:val="24"/>
          <w:szCs w:val="24"/>
        </w:rPr>
      </w:pPr>
    </w:p>
    <w:p w:rsidR="00D13D97" w:rsidRDefault="00E84F75" w:rsidP="003771A4">
      <w:pPr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433EB7" wp14:editId="4CC9CB1F">
                <wp:simplePos x="0" y="0"/>
                <wp:positionH relativeFrom="column">
                  <wp:posOffset>-60960</wp:posOffset>
                </wp:positionH>
                <wp:positionV relativeFrom="paragraph">
                  <wp:posOffset>108586</wp:posOffset>
                </wp:positionV>
                <wp:extent cx="6208838" cy="666750"/>
                <wp:effectExtent l="0" t="0" r="20955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838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20C76" id="角丸四角形 2" o:spid="_x0000_s1026" style="position:absolute;left:0;text-align:left;margin-left:-4.8pt;margin-top:8.55pt;width:488.9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245B7F" w:rsidRPr="00E84F75" w:rsidRDefault="00A26B24" w:rsidP="00E84F75">
      <w:pPr>
        <w:ind w:firstLineChars="100" w:firstLine="220"/>
        <w:rPr>
          <w:rFonts w:asciiTheme="minorEastAsia" w:hAnsiTheme="minorEastAsia" w:cs="Meiryo UI"/>
          <w:color w:val="000000" w:themeColor="text1"/>
          <w:kern w:val="24"/>
          <w:sz w:val="22"/>
        </w:rPr>
      </w:pPr>
      <w:r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港湾の国際競争力の強化等を図るため、</w:t>
      </w:r>
      <w:r w:rsidR="004D453C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府市港湾管理の一元化に必要な</w:t>
      </w:r>
      <w:r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防災</w:t>
      </w:r>
      <w:r w:rsidR="003E22E1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行政</w:t>
      </w:r>
      <w:r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無線設備の整備を行う</w:t>
      </w:r>
      <w:r w:rsidR="00F440E3" w:rsidRPr="00E84F75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補正予算案</w:t>
      </w:r>
      <w:r w:rsidR="005368D9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を</w:t>
      </w:r>
      <w:r w:rsidR="00F440E3" w:rsidRPr="00E84F75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編成しました。</w:t>
      </w:r>
    </w:p>
    <w:p w:rsidR="008D4811" w:rsidRDefault="008D4811" w:rsidP="005B6CF1">
      <w:pPr>
        <w:rPr>
          <w:rFonts w:asciiTheme="minorEastAsia" w:hAnsiTheme="minorEastAsia"/>
        </w:rPr>
      </w:pPr>
    </w:p>
    <w:p w:rsidR="00D13D97" w:rsidRPr="00E46796" w:rsidRDefault="00D13D97" w:rsidP="005B6CF1">
      <w:pPr>
        <w:rPr>
          <w:rFonts w:asciiTheme="minorEastAsia" w:hAnsiTheme="minorEastAsia"/>
        </w:rPr>
      </w:pPr>
    </w:p>
    <w:p w:rsidR="00E65F97" w:rsidRPr="00083346" w:rsidRDefault="00E65F97" w:rsidP="005B6CF1">
      <w:pPr>
        <w:rPr>
          <w:rFonts w:asciiTheme="minorEastAsia" w:hAnsiTheme="minorEastAsia"/>
        </w:rPr>
      </w:pPr>
    </w:p>
    <w:p w:rsidR="00524FFF" w:rsidRPr="00524FFF" w:rsidRDefault="00524FFF" w:rsidP="00524FFF">
      <w:pPr>
        <w:ind w:firstLineChars="300" w:firstLine="600"/>
        <w:rPr>
          <w:rFonts w:asciiTheme="minorEastAsia" w:hAnsiTheme="minorEastAsia"/>
          <w:sz w:val="20"/>
        </w:rPr>
      </w:pPr>
    </w:p>
    <w:p w:rsidR="005267F1" w:rsidRPr="003771A4" w:rsidRDefault="00D13D97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【１】</w:t>
      </w:r>
      <w:r w:rsidR="006C3AC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補正</w:t>
      </w:r>
      <w:r w:rsidR="00460686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項目</w:t>
      </w:r>
    </w:p>
    <w:p w:rsidR="00012B03" w:rsidRPr="00842526" w:rsidRDefault="00012B03" w:rsidP="00842526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083346" w:rsidRPr="00460686" w:rsidRDefault="004D453C" w:rsidP="00460686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theme="minorBidi" w:hint="eastAsia"/>
          <w:b/>
          <w:kern w:val="2"/>
        </w:rPr>
        <w:t>港湾管理・運営の一元化</w:t>
      </w:r>
      <w:r w:rsidR="00460686">
        <w:rPr>
          <w:rFonts w:asciiTheme="majorEastAsia" w:eastAsiaTheme="majorEastAsia" w:hAnsiTheme="majorEastAsia" w:cstheme="minorBidi" w:hint="eastAsia"/>
          <w:b/>
          <w:kern w:val="2"/>
        </w:rPr>
        <w:t xml:space="preserve">　　　　　　　　　　　　　　　0千円</w:t>
      </w:r>
    </w:p>
    <w:p w:rsidR="00460686" w:rsidRDefault="004D453C" w:rsidP="00460686">
      <w:pPr>
        <w:pStyle w:val="a3"/>
        <w:ind w:leftChars="0" w:left="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〔債務負担行為の設定（令和</w:t>
      </w:r>
      <w:r w:rsidR="00DF67EF">
        <w:rPr>
          <w:rFonts w:asciiTheme="majorEastAsia" w:eastAsiaTheme="majorEastAsia" w:hAnsiTheme="majorEastAsia" w:hint="eastAsia"/>
        </w:rPr>
        <w:t>元年度</w:t>
      </w:r>
      <w:r w:rsidR="00026E45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>２</w:t>
      </w:r>
      <w:r w:rsidR="00460686">
        <w:rPr>
          <w:rFonts w:asciiTheme="majorEastAsia" w:eastAsiaTheme="majorEastAsia" w:hAnsiTheme="majorEastAsia" w:hint="eastAsia"/>
        </w:rPr>
        <w:t xml:space="preserve">年度）　</w:t>
      </w:r>
      <w:r>
        <w:rPr>
          <w:rFonts w:asciiTheme="majorEastAsia" w:eastAsiaTheme="majorEastAsia" w:hAnsiTheme="majorEastAsia" w:hint="eastAsia"/>
        </w:rPr>
        <w:t>23,632</w:t>
      </w:r>
      <w:r w:rsidR="00460686">
        <w:rPr>
          <w:rFonts w:asciiTheme="majorEastAsia" w:eastAsiaTheme="majorEastAsia" w:hAnsiTheme="majorEastAsia" w:hint="eastAsia"/>
        </w:rPr>
        <w:t>千円〕</w:t>
      </w:r>
    </w:p>
    <w:p w:rsidR="00460686" w:rsidRDefault="00460686" w:rsidP="00A23E6A">
      <w:pPr>
        <w:rPr>
          <w:rFonts w:asciiTheme="majorEastAsia" w:eastAsiaTheme="majorEastAsia" w:hAnsiTheme="majorEastAsia"/>
        </w:rPr>
      </w:pPr>
    </w:p>
    <w:p w:rsidR="00F440E3" w:rsidRPr="00A23E6A" w:rsidRDefault="00F440E3" w:rsidP="005368D9">
      <w:pPr>
        <w:rPr>
          <w:rFonts w:asciiTheme="majorEastAsia" w:eastAsiaTheme="majorEastAsia" w:hAnsiTheme="majorEastAsia"/>
        </w:rPr>
      </w:pPr>
    </w:p>
    <w:p w:rsidR="00460686" w:rsidRDefault="00460686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sectPr w:rsidR="00460686" w:rsidSect="00895BFA"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20" w:rsidRDefault="00C76320" w:rsidP="00EA271E">
      <w:r>
        <w:separator/>
      </w:r>
    </w:p>
  </w:endnote>
  <w:endnote w:type="continuationSeparator" w:id="0">
    <w:p w:rsidR="00C76320" w:rsidRDefault="00C76320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20" w:rsidRDefault="00C76320" w:rsidP="00EA271E">
      <w:r>
        <w:separator/>
      </w:r>
    </w:p>
  </w:footnote>
  <w:footnote w:type="continuationSeparator" w:id="0">
    <w:p w:rsidR="00C76320" w:rsidRDefault="00C76320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7F196A"/>
    <w:multiLevelType w:val="hybridMultilevel"/>
    <w:tmpl w:val="C9EC0000"/>
    <w:lvl w:ilvl="0" w:tplc="E53257C6">
      <w:start w:val="2"/>
      <w:numFmt w:val="bullet"/>
      <w:lvlText w:val="○"/>
      <w:lvlJc w:val="left"/>
      <w:pPr>
        <w:ind w:left="8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3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F0D94"/>
    <w:multiLevelType w:val="hybridMultilevel"/>
    <w:tmpl w:val="3E720E92"/>
    <w:lvl w:ilvl="0" w:tplc="D6C6EDAA">
      <w:start w:val="2"/>
      <w:numFmt w:val="bullet"/>
      <w:lvlText w:val="○"/>
      <w:lvlJc w:val="left"/>
      <w:pPr>
        <w:ind w:left="1201" w:hanging="360"/>
      </w:pPr>
      <w:rPr>
        <w:rFonts w:ascii="ＭＳ ゴシック" w:eastAsia="ＭＳ ゴシック" w:hAnsi="ＭＳ ゴシック" w:cstheme="minorBidi" w:hint="eastAsia"/>
        <w:b/>
      </w:rPr>
    </w:lvl>
    <w:lvl w:ilvl="1" w:tplc="7BC01966">
      <w:start w:val="2"/>
      <w:numFmt w:val="bullet"/>
      <w:lvlText w:val="・"/>
      <w:lvlJc w:val="left"/>
      <w:pPr>
        <w:ind w:left="1621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7"/>
  </w:num>
  <w:num w:numId="11">
    <w:abstractNumId w:val="22"/>
  </w:num>
  <w:num w:numId="12">
    <w:abstractNumId w:val="15"/>
  </w:num>
  <w:num w:numId="13">
    <w:abstractNumId w:val="4"/>
  </w:num>
  <w:num w:numId="14">
    <w:abstractNumId w:val="3"/>
  </w:num>
  <w:num w:numId="15">
    <w:abstractNumId w:val="20"/>
  </w:num>
  <w:num w:numId="16">
    <w:abstractNumId w:val="13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  <w:num w:numId="22">
    <w:abstractNumId w:val="18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2B03"/>
    <w:rsid w:val="00017C4D"/>
    <w:rsid w:val="00026E45"/>
    <w:rsid w:val="000347F4"/>
    <w:rsid w:val="00083346"/>
    <w:rsid w:val="00101E8C"/>
    <w:rsid w:val="00102EFC"/>
    <w:rsid w:val="00177522"/>
    <w:rsid w:val="00224091"/>
    <w:rsid w:val="00245B7F"/>
    <w:rsid w:val="00264F8F"/>
    <w:rsid w:val="00274E44"/>
    <w:rsid w:val="002800EC"/>
    <w:rsid w:val="002A0EC3"/>
    <w:rsid w:val="002E15AF"/>
    <w:rsid w:val="003147F9"/>
    <w:rsid w:val="003771A4"/>
    <w:rsid w:val="00393B70"/>
    <w:rsid w:val="003B063D"/>
    <w:rsid w:val="003B2FB9"/>
    <w:rsid w:val="003D633F"/>
    <w:rsid w:val="003E22E1"/>
    <w:rsid w:val="003F044D"/>
    <w:rsid w:val="0040624A"/>
    <w:rsid w:val="004242ED"/>
    <w:rsid w:val="00460686"/>
    <w:rsid w:val="00474813"/>
    <w:rsid w:val="004760AC"/>
    <w:rsid w:val="004B550B"/>
    <w:rsid w:val="004B69EA"/>
    <w:rsid w:val="004B7118"/>
    <w:rsid w:val="004C593A"/>
    <w:rsid w:val="004C5AC9"/>
    <w:rsid w:val="004D453C"/>
    <w:rsid w:val="005178D3"/>
    <w:rsid w:val="00524FFF"/>
    <w:rsid w:val="005267F1"/>
    <w:rsid w:val="005368D9"/>
    <w:rsid w:val="00591126"/>
    <w:rsid w:val="005A1E43"/>
    <w:rsid w:val="005B433D"/>
    <w:rsid w:val="005B6CF1"/>
    <w:rsid w:val="005D1E50"/>
    <w:rsid w:val="00632522"/>
    <w:rsid w:val="00641DE2"/>
    <w:rsid w:val="00675A05"/>
    <w:rsid w:val="0069134C"/>
    <w:rsid w:val="006C3ACC"/>
    <w:rsid w:val="006D6386"/>
    <w:rsid w:val="006F0D13"/>
    <w:rsid w:val="0071079E"/>
    <w:rsid w:val="00713180"/>
    <w:rsid w:val="0074146B"/>
    <w:rsid w:val="00765FDB"/>
    <w:rsid w:val="00784506"/>
    <w:rsid w:val="007B739C"/>
    <w:rsid w:val="007D0811"/>
    <w:rsid w:val="007D4716"/>
    <w:rsid w:val="00822FE5"/>
    <w:rsid w:val="00842526"/>
    <w:rsid w:val="00845B68"/>
    <w:rsid w:val="0087586F"/>
    <w:rsid w:val="00895BFA"/>
    <w:rsid w:val="008A4950"/>
    <w:rsid w:val="008A6098"/>
    <w:rsid w:val="008D023B"/>
    <w:rsid w:val="008D3750"/>
    <w:rsid w:val="008D4811"/>
    <w:rsid w:val="009657AD"/>
    <w:rsid w:val="009719C6"/>
    <w:rsid w:val="00972AAC"/>
    <w:rsid w:val="009761CF"/>
    <w:rsid w:val="009D7B2A"/>
    <w:rsid w:val="009F3B48"/>
    <w:rsid w:val="00A1089D"/>
    <w:rsid w:val="00A23E6A"/>
    <w:rsid w:val="00A26B24"/>
    <w:rsid w:val="00A36149"/>
    <w:rsid w:val="00A441AF"/>
    <w:rsid w:val="00A84A0B"/>
    <w:rsid w:val="00A92EFB"/>
    <w:rsid w:val="00A93313"/>
    <w:rsid w:val="00AC6CEE"/>
    <w:rsid w:val="00B44079"/>
    <w:rsid w:val="00B55F3E"/>
    <w:rsid w:val="00B93AE7"/>
    <w:rsid w:val="00BB5FF2"/>
    <w:rsid w:val="00BC049E"/>
    <w:rsid w:val="00BD6E5D"/>
    <w:rsid w:val="00BF217C"/>
    <w:rsid w:val="00C16F23"/>
    <w:rsid w:val="00C76320"/>
    <w:rsid w:val="00C8072A"/>
    <w:rsid w:val="00C97CD5"/>
    <w:rsid w:val="00CC1B94"/>
    <w:rsid w:val="00D13D97"/>
    <w:rsid w:val="00D24CC2"/>
    <w:rsid w:val="00D479E8"/>
    <w:rsid w:val="00D81ADB"/>
    <w:rsid w:val="00DD5426"/>
    <w:rsid w:val="00DE1215"/>
    <w:rsid w:val="00DF67EF"/>
    <w:rsid w:val="00DF6BE5"/>
    <w:rsid w:val="00DF6C4E"/>
    <w:rsid w:val="00E15602"/>
    <w:rsid w:val="00E46796"/>
    <w:rsid w:val="00E50C02"/>
    <w:rsid w:val="00E54459"/>
    <w:rsid w:val="00E65F97"/>
    <w:rsid w:val="00E84F75"/>
    <w:rsid w:val="00EA271E"/>
    <w:rsid w:val="00EC687F"/>
    <w:rsid w:val="00F440E3"/>
    <w:rsid w:val="00F4603A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76A801-3319-4F9B-97A4-2423857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A485-4C20-4094-9954-35B8980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2</cp:revision>
  <cp:lastPrinted>2019-11-22T03:01:00Z</cp:lastPrinted>
  <dcterms:created xsi:type="dcterms:W3CDTF">2019-11-29T07:29:00Z</dcterms:created>
  <dcterms:modified xsi:type="dcterms:W3CDTF">2019-11-29T07:29:00Z</dcterms:modified>
</cp:coreProperties>
</file>