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25" w:rsidRPr="00097A25" w:rsidRDefault="00C54A5A" w:rsidP="00097A25">
      <w:pPr>
        <w:jc w:val="center"/>
        <w:rPr>
          <w:rFonts w:asciiTheme="minorEastAsia" w:hAnsiTheme="minorEastAsia"/>
          <w:sz w:val="24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3EE0D" wp14:editId="2B405F1C">
                <wp:simplePos x="0" y="0"/>
                <wp:positionH relativeFrom="column">
                  <wp:posOffset>5029200</wp:posOffset>
                </wp:positionH>
                <wp:positionV relativeFrom="paragraph">
                  <wp:posOffset>-476250</wp:posOffset>
                </wp:positionV>
                <wp:extent cx="838200" cy="44767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A5A" w:rsidRDefault="00C54A5A" w:rsidP="00C54A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EE0D" id="テキスト ボックス 3" o:spid="_x0000_s1028" type="#_x0000_t202" style="position:absolute;left:0;text-align:left;margin-left:396pt;margin-top:-37.5pt;width:66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">
                <v:textbox inset="5.85pt,.7pt,5.85pt,.7pt">
                  <w:txbxContent>
                    <w:p w:rsidR="00C54A5A" w:rsidRDefault="00C54A5A" w:rsidP="00C54A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97A25" w:rsidRPr="00097A25">
        <w:rPr>
          <w:rFonts w:asciiTheme="minorEastAsia" w:hAnsiTheme="minorEastAsia" w:hint="eastAsia"/>
          <w:sz w:val="28"/>
        </w:rPr>
        <w:t>令和２年度入学者選抜実技検査内容</w:t>
      </w:r>
    </w:p>
    <w:p w:rsidR="00097A25" w:rsidRPr="00097A25" w:rsidRDefault="00097A25" w:rsidP="00097A25">
      <w:pPr>
        <w:jc w:val="center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（大阪市立水都国際高等学校グローバル探究科）</w:t>
      </w:r>
    </w:p>
    <w:p w:rsidR="00097A25" w:rsidRPr="00097A25" w:rsidRDefault="00097A25" w:rsidP="00097A25">
      <w:pPr>
        <w:jc w:val="center"/>
        <w:rPr>
          <w:rFonts w:asciiTheme="minorEastAsia" w:hAnsiTheme="minorEastAsia"/>
          <w:sz w:val="24"/>
        </w:rPr>
      </w:pPr>
    </w:p>
    <w:p w:rsidR="00097A25" w:rsidRPr="00097A25" w:rsidRDefault="00097A25" w:rsidP="00097A25">
      <w:pPr>
        <w:jc w:val="righ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大阪市教育委員会</w:t>
      </w:r>
    </w:p>
    <w:p w:rsidR="00097A25" w:rsidRPr="00097A25" w:rsidRDefault="00097A25" w:rsidP="00097A25">
      <w:pPr>
        <w:spacing w:line="360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</w:t>
      </w:r>
    </w:p>
    <w:p w:rsidR="00097A25" w:rsidRPr="00097A25" w:rsidRDefault="00097A25" w:rsidP="00097A25">
      <w:pPr>
        <w:spacing w:line="276" w:lineRule="auto"/>
        <w:ind w:left="240" w:hangingChars="100" w:hanging="240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実技検査として、次の「Ⅰ 英文の音読」及び「Ⅱ 英語による口頭試問」を実施する。なお、実技検査の日程等については、令和２年度大阪府公立高等学校入学者選抜実施要項</w:t>
      </w:r>
      <w:r w:rsidR="0077681F" w:rsidRPr="007828CB">
        <w:rPr>
          <w:rFonts w:asciiTheme="minorEastAsia" w:hAnsiTheme="minorEastAsia" w:hint="eastAsia"/>
          <w:sz w:val="24"/>
        </w:rPr>
        <w:t>（令和元年10月公表）</w:t>
      </w:r>
      <w:r w:rsidRPr="00097A25">
        <w:rPr>
          <w:rFonts w:asciiTheme="minorEastAsia" w:hAnsiTheme="minorEastAsia" w:hint="eastAsia"/>
          <w:sz w:val="24"/>
        </w:rPr>
        <w:t>を参照のこと。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Ⅰ 英文の音読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〔内容〕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・50語程度の英文を１分間以内で音読する。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Ⅱ 英語による口頭試問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〔内容〕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・英語による質問に対し、英語で答える。</w:t>
      </w:r>
    </w:p>
    <w:p w:rsidR="00097A25" w:rsidRPr="00097A25" w:rsidRDefault="00097A25" w:rsidP="005F0603">
      <w:pPr>
        <w:ind w:left="742" w:rightChars="26" w:right="55" w:hangingChars="309" w:hanging="742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・質問は４問とし、「</w:t>
      </w:r>
      <w:r w:rsidR="005F0603">
        <w:rPr>
          <w:rFonts w:asciiTheme="minorEastAsia" w:hAnsiTheme="minorEastAsia" w:hint="eastAsia"/>
          <w:sz w:val="24"/>
        </w:rPr>
        <w:t>Ⅰ英文の音読」で使用した英文に関する質問</w:t>
      </w:r>
      <w:r w:rsidR="005F0603" w:rsidRPr="007828CB">
        <w:rPr>
          <w:rFonts w:asciiTheme="minorEastAsia" w:hAnsiTheme="minorEastAsia" w:hint="eastAsia"/>
          <w:sz w:val="24"/>
        </w:rPr>
        <w:t>及び</w:t>
      </w:r>
      <w:r w:rsidR="006D31AF">
        <w:rPr>
          <w:rFonts w:asciiTheme="minorEastAsia" w:hAnsiTheme="minorEastAsia" w:hint="eastAsia"/>
          <w:sz w:val="24"/>
        </w:rPr>
        <w:t>自分の意見</w:t>
      </w:r>
      <w:r w:rsidRPr="00097A25">
        <w:rPr>
          <w:rFonts w:asciiTheme="minorEastAsia" w:hAnsiTheme="minorEastAsia" w:hint="eastAsia"/>
          <w:sz w:val="24"/>
        </w:rPr>
        <w:t>や考えに関する質問に答える。</w:t>
      </w:r>
    </w:p>
    <w:p w:rsidR="00097A25" w:rsidRPr="00097A25" w:rsidRDefault="00097A25" w:rsidP="00097A25">
      <w:pPr>
        <w:rPr>
          <w:rFonts w:asciiTheme="minorEastAsia" w:hAnsiTheme="minorEastAsia"/>
          <w:sz w:val="24"/>
        </w:rPr>
      </w:pP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>○その他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・検査Ⅰ、Ⅱは１人ずつ実施する。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・検査室内での指示はすべて英語で行う。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・実技検査当日に検査の流れについて日本語で説明を行う。</w:t>
      </w:r>
    </w:p>
    <w:p w:rsidR="00097A25" w:rsidRPr="00097A25" w:rsidRDefault="00097A25" w:rsidP="00097A25">
      <w:pPr>
        <w:spacing w:line="276" w:lineRule="auto"/>
        <w:jc w:val="left"/>
        <w:rPr>
          <w:rFonts w:asciiTheme="minorEastAsia" w:hAnsiTheme="minorEastAsia"/>
          <w:sz w:val="24"/>
        </w:rPr>
      </w:pPr>
      <w:r w:rsidRPr="00097A25">
        <w:rPr>
          <w:rFonts w:asciiTheme="minorEastAsia" w:hAnsiTheme="minorEastAsia" w:hint="eastAsia"/>
          <w:sz w:val="24"/>
        </w:rPr>
        <w:t xml:space="preserve">　　・検査室に資料や筆記用具を持ち込むことはできない。</w:t>
      </w: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Pr="00097A25" w:rsidRDefault="00097A25" w:rsidP="00DB1EE2">
      <w:pPr>
        <w:spacing w:line="276" w:lineRule="auto"/>
        <w:jc w:val="left"/>
        <w:rPr>
          <w:rFonts w:asciiTheme="minorEastAsia" w:hAnsiTheme="minorEastAsia"/>
          <w:sz w:val="24"/>
        </w:rPr>
      </w:pPr>
    </w:p>
    <w:p w:rsidR="00097A25" w:rsidRDefault="00097A25" w:rsidP="00097A25">
      <w:pPr>
        <w:jc w:val="center"/>
        <w:rPr>
          <w:rFonts w:asciiTheme="minorEastAsia" w:hAnsiTheme="minorEastAsia"/>
          <w:sz w:val="28"/>
          <w:szCs w:val="28"/>
        </w:rPr>
      </w:pPr>
    </w:p>
    <w:p w:rsidR="00097A25" w:rsidRDefault="00097A25" w:rsidP="00097A25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097A25" w:rsidSect="00ED4C01">
      <w:pgSz w:w="11906" w:h="16838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69" w:rsidRDefault="005D1C69" w:rsidP="004E58DA">
      <w:r>
        <w:separator/>
      </w:r>
    </w:p>
  </w:endnote>
  <w:endnote w:type="continuationSeparator" w:id="0">
    <w:p w:rsidR="005D1C69" w:rsidRDefault="005D1C69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69" w:rsidRDefault="005D1C69" w:rsidP="004E58DA">
      <w:r>
        <w:separator/>
      </w:r>
    </w:p>
  </w:footnote>
  <w:footnote w:type="continuationSeparator" w:id="0">
    <w:p w:rsidR="005D1C69" w:rsidRDefault="005D1C69" w:rsidP="004E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A5FDB"/>
    <w:multiLevelType w:val="hybridMultilevel"/>
    <w:tmpl w:val="AEBAB546"/>
    <w:lvl w:ilvl="0" w:tplc="2B2449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530F3"/>
    <w:rsid w:val="00097A25"/>
    <w:rsid w:val="000B1755"/>
    <w:rsid w:val="00100230"/>
    <w:rsid w:val="001257F1"/>
    <w:rsid w:val="001652C6"/>
    <w:rsid w:val="0022272C"/>
    <w:rsid w:val="002825BD"/>
    <w:rsid w:val="002C416F"/>
    <w:rsid w:val="00326E3E"/>
    <w:rsid w:val="00356178"/>
    <w:rsid w:val="00420460"/>
    <w:rsid w:val="004E58DA"/>
    <w:rsid w:val="004F542D"/>
    <w:rsid w:val="005D1C69"/>
    <w:rsid w:val="005F0603"/>
    <w:rsid w:val="006822A4"/>
    <w:rsid w:val="006D31AF"/>
    <w:rsid w:val="006E28DF"/>
    <w:rsid w:val="00724614"/>
    <w:rsid w:val="0077681F"/>
    <w:rsid w:val="007828CB"/>
    <w:rsid w:val="007950CF"/>
    <w:rsid w:val="007A7C18"/>
    <w:rsid w:val="007F1046"/>
    <w:rsid w:val="00802591"/>
    <w:rsid w:val="008A17E9"/>
    <w:rsid w:val="008A422E"/>
    <w:rsid w:val="008E1684"/>
    <w:rsid w:val="009254BF"/>
    <w:rsid w:val="00A16652"/>
    <w:rsid w:val="00A23AD6"/>
    <w:rsid w:val="00A66A89"/>
    <w:rsid w:val="00AC2497"/>
    <w:rsid w:val="00AF3618"/>
    <w:rsid w:val="00B03AF3"/>
    <w:rsid w:val="00BC1891"/>
    <w:rsid w:val="00C042EB"/>
    <w:rsid w:val="00C54A5A"/>
    <w:rsid w:val="00C768C2"/>
    <w:rsid w:val="00D97FC9"/>
    <w:rsid w:val="00DB1EE2"/>
    <w:rsid w:val="00DD6FB6"/>
    <w:rsid w:val="00E013A2"/>
    <w:rsid w:val="00E0558D"/>
    <w:rsid w:val="00E418CD"/>
    <w:rsid w:val="00E47BAA"/>
    <w:rsid w:val="00EA3E74"/>
    <w:rsid w:val="00ED4C01"/>
    <w:rsid w:val="00EE2AB5"/>
    <w:rsid w:val="00F214C3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7A8D513-D421-421E-9CAD-3B7E20B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  <w:style w:type="paragraph" w:styleId="a9">
    <w:name w:val="Plain Text"/>
    <w:basedOn w:val="a"/>
    <w:link w:val="aa"/>
    <w:rsid w:val="0072461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724614"/>
    <w:rPr>
      <w:rFonts w:ascii="ＭＳ 明朝" w:eastAsia="ＭＳ 明朝" w:hAnsi="Courier New" w:cs="Courier New"/>
      <w:szCs w:val="21"/>
    </w:rPr>
  </w:style>
  <w:style w:type="paragraph" w:styleId="ab">
    <w:name w:val="List Paragraph"/>
    <w:basedOn w:val="a"/>
    <w:uiPriority w:val="34"/>
    <w:qFormat/>
    <w:rsid w:val="007246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田野原　千佳</dc:creator>
  <cp:lastModifiedBy>竹田　公憲</cp:lastModifiedBy>
  <cp:revision>3</cp:revision>
  <cp:lastPrinted>2018-08-17T07:11:00Z</cp:lastPrinted>
  <dcterms:created xsi:type="dcterms:W3CDTF">2019-09-09T09:22:00Z</dcterms:created>
  <dcterms:modified xsi:type="dcterms:W3CDTF">2019-09-09T09:23:00Z</dcterms:modified>
</cp:coreProperties>
</file>