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57" w:rsidRDefault="00FB2357" w:rsidP="00FB2357">
      <w:pPr>
        <w:rPr>
          <w:rFonts w:ascii="Meiryo UI" w:eastAsia="Meiryo UI" w:hAnsi="Meiryo UI" w:cs="Meiryo UI"/>
          <w:szCs w:val="21"/>
        </w:rPr>
      </w:pPr>
      <w:bookmarkStart w:id="0" w:name="_GoBack"/>
      <w:bookmarkEnd w:id="0"/>
      <w:r>
        <w:rPr>
          <w:rFonts w:ascii="Meiryo UI" w:eastAsia="Meiryo UI" w:hAnsi="Meiryo UI" w:cs="Meiryo UI" w:hint="eastAsia"/>
          <w:szCs w:val="21"/>
        </w:rPr>
        <w:t>【</w:t>
      </w:r>
      <w:r w:rsidR="00CE4775" w:rsidRPr="00CE4775">
        <w:rPr>
          <w:rFonts w:ascii="Meiryo UI" w:eastAsia="Meiryo UI" w:hAnsi="Meiryo UI" w:cs="Meiryo UI" w:hint="eastAsia"/>
          <w:szCs w:val="21"/>
        </w:rPr>
        <w:t>監査委員事務局</w:t>
      </w:r>
      <w:r w:rsidRPr="00627195">
        <w:rPr>
          <w:rFonts w:ascii="Meiryo UI" w:eastAsia="Meiryo UI" w:hAnsi="Meiryo UI" w:cs="Meiryo UI" w:hint="eastAsia"/>
          <w:szCs w:val="21"/>
        </w:rPr>
        <w:t>】</w:t>
      </w:r>
    </w:p>
    <w:p w:rsidR="00FB2357" w:rsidRDefault="00FB2357" w:rsidP="00FB2357">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4"/>
        <w:gridCol w:w="3486"/>
        <w:gridCol w:w="8972"/>
      </w:tblGrid>
      <w:tr w:rsidR="00FB2357" w:rsidRPr="00627195" w:rsidTr="007F47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FB2357" w:rsidRPr="00627195" w:rsidRDefault="00FB2357" w:rsidP="007F472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FB2357" w:rsidRPr="00627195" w:rsidRDefault="00FB2357" w:rsidP="007F472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EA41E3" w:rsidRPr="00627195" w:rsidTr="00EA41E3">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675" w:type="dxa"/>
          </w:tcPr>
          <w:p w:rsidR="00EA41E3" w:rsidRPr="00627195" w:rsidRDefault="00EA41E3" w:rsidP="00EA41E3">
            <w:pPr>
              <w:jc w:val="center"/>
              <w:rPr>
                <w:rFonts w:ascii="Meiryo UI" w:eastAsia="Meiryo UI" w:hAnsi="Meiryo UI" w:cs="Meiryo UI"/>
                <w:szCs w:val="21"/>
              </w:rPr>
            </w:pPr>
            <w:r>
              <w:rPr>
                <w:rFonts w:ascii="Meiryo UI" w:eastAsia="Meiryo UI" w:hAnsi="Meiryo UI" w:cs="Meiryo UI" w:hint="eastAsia"/>
                <w:szCs w:val="21"/>
              </w:rPr>
              <w:t>*1</w:t>
            </w:r>
          </w:p>
        </w:tc>
        <w:tc>
          <w:tcPr>
            <w:tcW w:w="3544" w:type="dxa"/>
          </w:tcPr>
          <w:p w:rsidR="00EA41E3" w:rsidRPr="00EA41E3" w:rsidRDefault="00EA41E3" w:rsidP="00EA41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財政的援助団体等</w:t>
            </w:r>
          </w:p>
        </w:tc>
        <w:tc>
          <w:tcPr>
            <w:tcW w:w="9131" w:type="dxa"/>
          </w:tcPr>
          <w:p w:rsidR="00EA41E3" w:rsidRPr="00EA41E3" w:rsidRDefault="00EA41E3" w:rsidP="00EA41E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 xml:space="preserve">　大阪府から補助金の交付など財政的援助等を受けている団体のうち、府との関連性など一定の基準により選定した団体及び出資法人や指定管理者について、監査を実施しています。</w:t>
            </w:r>
          </w:p>
        </w:tc>
      </w:tr>
      <w:tr w:rsidR="00EA41E3" w:rsidRPr="00627195" w:rsidTr="00EA41E3">
        <w:trPr>
          <w:cnfStyle w:val="000000010000" w:firstRow="0" w:lastRow="0" w:firstColumn="0" w:lastColumn="0" w:oddVBand="0" w:evenVBand="0" w:oddHBand="0" w:evenHBand="1"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675" w:type="dxa"/>
          </w:tcPr>
          <w:p w:rsidR="00EA41E3" w:rsidRPr="00627195" w:rsidRDefault="00EA41E3" w:rsidP="00EA41E3">
            <w:pPr>
              <w:jc w:val="center"/>
              <w:rPr>
                <w:rFonts w:ascii="Meiryo UI" w:eastAsia="Meiryo UI" w:hAnsi="Meiryo UI" w:cs="Meiryo UI"/>
                <w:szCs w:val="21"/>
              </w:rPr>
            </w:pPr>
            <w:r>
              <w:rPr>
                <w:rFonts w:ascii="Meiryo UI" w:eastAsia="Meiryo UI" w:hAnsi="Meiryo UI" w:cs="Meiryo UI" w:hint="eastAsia"/>
                <w:szCs w:val="21"/>
              </w:rPr>
              <w:t>*2</w:t>
            </w:r>
          </w:p>
        </w:tc>
        <w:tc>
          <w:tcPr>
            <w:tcW w:w="3544" w:type="dxa"/>
          </w:tcPr>
          <w:p w:rsidR="00EA41E3" w:rsidRPr="00EA41E3" w:rsidRDefault="00EA41E3" w:rsidP="00EA41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財政健全化判断比率等</w:t>
            </w:r>
          </w:p>
        </w:tc>
        <w:tc>
          <w:tcPr>
            <w:tcW w:w="9131" w:type="dxa"/>
          </w:tcPr>
          <w:p w:rsidR="00EA41E3" w:rsidRPr="00EA41E3" w:rsidRDefault="00EA41E3" w:rsidP="00EA41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 xml:space="preserve">　地方公共団体の財政の健全化に関する法律により定められた地方公共団体の財政の健全性を示す指標であり、実質赤字比率、連結実質赤字比率、実質公債費比率、将来負担比率と資金不足比率があります。</w:t>
            </w:r>
          </w:p>
          <w:p w:rsidR="00EA41E3" w:rsidRPr="00EA41E3" w:rsidRDefault="00EA41E3" w:rsidP="00EA41E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EA41E3">
              <w:rPr>
                <w:rFonts w:ascii="Meiryo UI" w:eastAsia="Meiryo UI" w:hAnsi="Meiryo UI" w:cs="Meiryo UI" w:hint="eastAsia"/>
                <w:szCs w:val="21"/>
              </w:rPr>
              <w:t xml:space="preserve">　各指標の数値が早期健全化指標や財政再生指標を超えると、財政健全化計画や財政再生計画の策定と実施による財政の健全化が必要となります。</w:t>
            </w:r>
          </w:p>
        </w:tc>
      </w:tr>
    </w:tbl>
    <w:p w:rsidR="002C4475" w:rsidRDefault="002C4475"/>
    <w:sectPr w:rsidR="002C4475" w:rsidSect="00FB2357">
      <w:pgSz w:w="16838" w:h="11906" w:orient="landscape"/>
      <w:pgMar w:top="1701" w:right="1985"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83" w:rsidRDefault="007B1283" w:rsidP="00CE4775">
      <w:r>
        <w:separator/>
      </w:r>
    </w:p>
  </w:endnote>
  <w:endnote w:type="continuationSeparator" w:id="0">
    <w:p w:rsidR="007B1283" w:rsidRDefault="007B1283" w:rsidP="00CE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83" w:rsidRDefault="007B1283" w:rsidP="00CE4775">
      <w:r>
        <w:separator/>
      </w:r>
    </w:p>
  </w:footnote>
  <w:footnote w:type="continuationSeparator" w:id="0">
    <w:p w:rsidR="007B1283" w:rsidRDefault="007B1283" w:rsidP="00CE4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57"/>
    <w:rsid w:val="00083856"/>
    <w:rsid w:val="000F7515"/>
    <w:rsid w:val="002C4475"/>
    <w:rsid w:val="00323099"/>
    <w:rsid w:val="003C40C8"/>
    <w:rsid w:val="005707F6"/>
    <w:rsid w:val="00781D27"/>
    <w:rsid w:val="007B1283"/>
    <w:rsid w:val="00890489"/>
    <w:rsid w:val="00CE4775"/>
    <w:rsid w:val="00EA41E3"/>
    <w:rsid w:val="00FB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5198B51-CFF3-40DA-A65D-4B47A77C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Light Grid"/>
    <w:basedOn w:val="a1"/>
    <w:uiPriority w:val="62"/>
    <w:rsid w:val="00FB23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3">
    <w:name w:val="Balloon Text"/>
    <w:basedOn w:val="a"/>
    <w:link w:val="a4"/>
    <w:uiPriority w:val="99"/>
    <w:semiHidden/>
    <w:unhideWhenUsed/>
    <w:rsid w:val="00CE47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4775"/>
    <w:rPr>
      <w:rFonts w:asciiTheme="majorHAnsi" w:eastAsiaTheme="majorEastAsia" w:hAnsiTheme="majorHAnsi" w:cstheme="majorBidi"/>
      <w:sz w:val="18"/>
      <w:szCs w:val="18"/>
    </w:rPr>
  </w:style>
  <w:style w:type="paragraph" w:styleId="a5">
    <w:name w:val="header"/>
    <w:basedOn w:val="a"/>
    <w:link w:val="a6"/>
    <w:uiPriority w:val="99"/>
    <w:unhideWhenUsed/>
    <w:rsid w:val="00CE4775"/>
    <w:pPr>
      <w:tabs>
        <w:tab w:val="center" w:pos="4252"/>
        <w:tab w:val="right" w:pos="8504"/>
      </w:tabs>
      <w:snapToGrid w:val="0"/>
    </w:pPr>
  </w:style>
  <w:style w:type="character" w:customStyle="1" w:styleId="a6">
    <w:name w:val="ヘッダー (文字)"/>
    <w:basedOn w:val="a0"/>
    <w:link w:val="a5"/>
    <w:uiPriority w:val="99"/>
    <w:rsid w:val="00CE4775"/>
  </w:style>
  <w:style w:type="paragraph" w:styleId="a7">
    <w:name w:val="footer"/>
    <w:basedOn w:val="a"/>
    <w:link w:val="a8"/>
    <w:uiPriority w:val="99"/>
    <w:unhideWhenUsed/>
    <w:rsid w:val="00CE4775"/>
    <w:pPr>
      <w:tabs>
        <w:tab w:val="center" w:pos="4252"/>
        <w:tab w:val="right" w:pos="8504"/>
      </w:tabs>
      <w:snapToGrid w:val="0"/>
    </w:pPr>
  </w:style>
  <w:style w:type="character" w:customStyle="1" w:styleId="a8">
    <w:name w:val="フッター (文字)"/>
    <w:basedOn w:val="a0"/>
    <w:link w:val="a7"/>
    <w:uiPriority w:val="99"/>
    <w:rsid w:val="00CE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2017-04-21T04:14:00Z</cp:lastPrinted>
  <dcterms:created xsi:type="dcterms:W3CDTF">2020-06-10T08:19:00Z</dcterms:created>
  <dcterms:modified xsi:type="dcterms:W3CDTF">2020-06-10T08:19:00Z</dcterms:modified>
</cp:coreProperties>
</file>