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D0" w:rsidRPr="00E3597E" w:rsidRDefault="00684D7A">
      <w:pPr>
        <w:rPr>
          <w:rFonts w:asciiTheme="majorEastAsia" w:eastAsiaTheme="majorEastAsia" w:hAnsiTheme="majorEastAsia"/>
          <w:sz w:val="24"/>
          <w:szCs w:val="24"/>
        </w:rPr>
      </w:pPr>
      <w:r w:rsidRPr="00E3597E">
        <w:rPr>
          <w:rFonts w:asciiTheme="majorEastAsia" w:eastAsiaTheme="majorEastAsia" w:hAnsiTheme="majorEastAsia" w:hint="eastAsia"/>
          <w:sz w:val="24"/>
          <w:szCs w:val="24"/>
        </w:rPr>
        <w:t>大阪府における障がい者アート施策の今後の方向等について</w:t>
      </w:r>
    </w:p>
    <w:tbl>
      <w:tblPr>
        <w:tblStyle w:val="a3"/>
        <w:tblW w:w="0" w:type="auto"/>
        <w:tblLook w:val="04A0" w:firstRow="1" w:lastRow="0" w:firstColumn="1" w:lastColumn="0" w:noHBand="0" w:noVBand="1"/>
      </w:tblPr>
      <w:tblGrid>
        <w:gridCol w:w="534"/>
        <w:gridCol w:w="992"/>
        <w:gridCol w:w="3295"/>
        <w:gridCol w:w="3296"/>
        <w:gridCol w:w="6592"/>
      </w:tblGrid>
      <w:tr w:rsidR="005A4DDA" w:rsidRPr="00E3597E" w:rsidTr="007C3678">
        <w:tc>
          <w:tcPr>
            <w:tcW w:w="1526" w:type="dxa"/>
            <w:gridSpan w:val="2"/>
            <w:tcBorders>
              <w:top w:val="nil"/>
              <w:left w:val="nil"/>
              <w:bottom w:val="single" w:sz="4" w:space="0" w:color="auto"/>
            </w:tcBorders>
          </w:tcPr>
          <w:p w:rsidR="005A4DDA" w:rsidRPr="00E3597E" w:rsidRDefault="005A4DDA">
            <w:pPr>
              <w:rPr>
                <w:sz w:val="24"/>
                <w:szCs w:val="24"/>
              </w:rPr>
            </w:pPr>
          </w:p>
        </w:tc>
        <w:tc>
          <w:tcPr>
            <w:tcW w:w="3295" w:type="dxa"/>
            <w:shd w:val="pct15" w:color="auto" w:fill="auto"/>
          </w:tcPr>
          <w:p w:rsidR="005A4DDA" w:rsidRPr="00E3597E" w:rsidRDefault="005A4DDA">
            <w:pPr>
              <w:rPr>
                <w:rFonts w:asciiTheme="majorEastAsia" w:eastAsiaTheme="majorEastAsia" w:hAnsiTheme="majorEastAsia"/>
                <w:sz w:val="24"/>
                <w:szCs w:val="24"/>
              </w:rPr>
            </w:pPr>
            <w:r w:rsidRPr="00E3597E">
              <w:rPr>
                <w:rFonts w:asciiTheme="majorEastAsia" w:eastAsiaTheme="majorEastAsia" w:hAnsiTheme="majorEastAsia" w:hint="eastAsia"/>
                <w:sz w:val="24"/>
                <w:szCs w:val="24"/>
              </w:rPr>
              <w:t>これまでの取組み</w:t>
            </w:r>
          </w:p>
        </w:tc>
        <w:tc>
          <w:tcPr>
            <w:tcW w:w="3296" w:type="dxa"/>
            <w:shd w:val="pct15" w:color="auto" w:fill="auto"/>
          </w:tcPr>
          <w:p w:rsidR="005A4DDA" w:rsidRPr="00E3597E" w:rsidRDefault="005A4DDA">
            <w:pPr>
              <w:rPr>
                <w:rFonts w:asciiTheme="majorEastAsia" w:eastAsiaTheme="majorEastAsia" w:hAnsiTheme="majorEastAsia"/>
                <w:sz w:val="24"/>
                <w:szCs w:val="24"/>
              </w:rPr>
            </w:pPr>
            <w:r w:rsidRPr="00E3597E">
              <w:rPr>
                <w:rFonts w:asciiTheme="majorEastAsia" w:eastAsiaTheme="majorEastAsia" w:hAnsiTheme="majorEastAsia" w:hint="eastAsia"/>
                <w:sz w:val="24"/>
                <w:szCs w:val="24"/>
              </w:rPr>
              <w:t>主な成果</w:t>
            </w:r>
            <w:r w:rsidR="008E09DD">
              <w:rPr>
                <w:rFonts w:asciiTheme="majorEastAsia" w:eastAsiaTheme="majorEastAsia" w:hAnsiTheme="majorEastAsia" w:hint="eastAsia"/>
                <w:sz w:val="24"/>
                <w:szCs w:val="24"/>
              </w:rPr>
              <w:t>（○）</w:t>
            </w:r>
            <w:r w:rsidRPr="00E3597E">
              <w:rPr>
                <w:rFonts w:asciiTheme="majorEastAsia" w:eastAsiaTheme="majorEastAsia" w:hAnsiTheme="majorEastAsia" w:hint="eastAsia"/>
                <w:sz w:val="24"/>
                <w:szCs w:val="24"/>
              </w:rPr>
              <w:t>と課題</w:t>
            </w:r>
            <w:r w:rsidR="008E09DD">
              <w:rPr>
                <w:rFonts w:asciiTheme="majorEastAsia" w:eastAsiaTheme="majorEastAsia" w:hAnsiTheme="majorEastAsia" w:hint="eastAsia"/>
                <w:sz w:val="24"/>
                <w:szCs w:val="24"/>
              </w:rPr>
              <w:t>（●）</w:t>
            </w:r>
          </w:p>
        </w:tc>
        <w:tc>
          <w:tcPr>
            <w:tcW w:w="6592" w:type="dxa"/>
            <w:shd w:val="pct15" w:color="auto" w:fill="auto"/>
          </w:tcPr>
          <w:p w:rsidR="005A4DDA" w:rsidRPr="00E3597E" w:rsidRDefault="005A4DDA">
            <w:pPr>
              <w:rPr>
                <w:rFonts w:asciiTheme="majorEastAsia" w:eastAsiaTheme="majorEastAsia" w:hAnsiTheme="majorEastAsia"/>
                <w:sz w:val="24"/>
                <w:szCs w:val="24"/>
              </w:rPr>
            </w:pPr>
            <w:r w:rsidRPr="00E3597E">
              <w:rPr>
                <w:rFonts w:asciiTheme="majorEastAsia" w:eastAsiaTheme="majorEastAsia" w:hAnsiTheme="majorEastAsia" w:hint="eastAsia"/>
                <w:sz w:val="24"/>
                <w:szCs w:val="24"/>
              </w:rPr>
              <w:t>今後の方向性</w:t>
            </w:r>
          </w:p>
        </w:tc>
      </w:tr>
      <w:tr w:rsidR="005A4DDA" w:rsidRPr="00E3597E" w:rsidTr="007C3678">
        <w:tc>
          <w:tcPr>
            <w:tcW w:w="1526" w:type="dxa"/>
            <w:gridSpan w:val="2"/>
            <w:shd w:val="pct15" w:color="auto" w:fill="auto"/>
          </w:tcPr>
          <w:p w:rsidR="005A4DDA" w:rsidRPr="00E3597E" w:rsidRDefault="005A4DDA">
            <w:pPr>
              <w:rPr>
                <w:rFonts w:asciiTheme="majorEastAsia" w:eastAsiaTheme="majorEastAsia" w:hAnsiTheme="majorEastAsia"/>
                <w:sz w:val="24"/>
                <w:szCs w:val="24"/>
              </w:rPr>
            </w:pPr>
            <w:r w:rsidRPr="00E3597E">
              <w:rPr>
                <w:rFonts w:asciiTheme="majorEastAsia" w:eastAsiaTheme="majorEastAsia" w:hAnsiTheme="majorEastAsia" w:hint="eastAsia"/>
                <w:sz w:val="24"/>
                <w:szCs w:val="24"/>
              </w:rPr>
              <w:t>公募展</w:t>
            </w:r>
          </w:p>
        </w:tc>
        <w:tc>
          <w:tcPr>
            <w:tcW w:w="3295" w:type="dxa"/>
          </w:tcPr>
          <w:p w:rsidR="005A4DDA" w:rsidRPr="00E3597E" w:rsidRDefault="005A4DDA" w:rsidP="00E3597E">
            <w:pPr>
              <w:ind w:left="240" w:hangingChars="100" w:hanging="240"/>
              <w:rPr>
                <w:sz w:val="24"/>
                <w:szCs w:val="24"/>
              </w:rPr>
            </w:pPr>
            <w:r w:rsidRPr="00E3597E">
              <w:rPr>
                <w:rFonts w:hint="eastAsia"/>
                <w:sz w:val="24"/>
                <w:szCs w:val="24"/>
              </w:rPr>
              <w:t>■平成</w:t>
            </w:r>
            <w:r w:rsidR="00E3597E">
              <w:rPr>
                <w:rFonts w:hint="eastAsia"/>
                <w:sz w:val="24"/>
                <w:szCs w:val="24"/>
              </w:rPr>
              <w:t>21</w:t>
            </w:r>
            <w:r w:rsidR="00E3597E">
              <w:rPr>
                <w:rFonts w:hint="eastAsia"/>
                <w:sz w:val="24"/>
                <w:szCs w:val="24"/>
              </w:rPr>
              <w:t>年度から</w:t>
            </w:r>
            <w:r w:rsidRPr="00E3597E">
              <w:rPr>
                <w:rFonts w:hint="eastAsia"/>
                <w:sz w:val="24"/>
                <w:szCs w:val="24"/>
              </w:rPr>
              <w:t>今年度まで７回にわたる公募展を実施。（別紙１参照）</w:t>
            </w:r>
          </w:p>
          <w:p w:rsidR="005A4DDA" w:rsidRPr="00E3597E" w:rsidRDefault="005A4DDA" w:rsidP="00E3597E">
            <w:pPr>
              <w:ind w:left="240" w:hangingChars="100" w:hanging="240"/>
              <w:rPr>
                <w:sz w:val="24"/>
                <w:szCs w:val="24"/>
              </w:rPr>
            </w:pPr>
            <w:r w:rsidRPr="00E3597E">
              <w:rPr>
                <w:rFonts w:hint="eastAsia"/>
                <w:sz w:val="24"/>
                <w:szCs w:val="24"/>
              </w:rPr>
              <w:t>■</w:t>
            </w:r>
            <w:r w:rsidR="00685D7A" w:rsidRPr="00E3597E">
              <w:rPr>
                <w:rFonts w:hint="eastAsia"/>
                <w:sz w:val="24"/>
                <w:szCs w:val="24"/>
              </w:rPr>
              <w:t>現代アートとしての</w:t>
            </w:r>
            <w:r w:rsidRPr="00E3597E">
              <w:rPr>
                <w:rFonts w:hint="eastAsia"/>
                <w:sz w:val="24"/>
                <w:szCs w:val="24"/>
              </w:rPr>
              <w:t>障がい者</w:t>
            </w:r>
            <w:r w:rsidR="00685D7A" w:rsidRPr="00E3597E">
              <w:rPr>
                <w:rFonts w:hint="eastAsia"/>
                <w:sz w:val="24"/>
                <w:szCs w:val="24"/>
              </w:rPr>
              <w:t>による</w:t>
            </w:r>
            <w:r w:rsidRPr="00E3597E">
              <w:rPr>
                <w:rFonts w:hint="eastAsia"/>
                <w:sz w:val="24"/>
                <w:szCs w:val="24"/>
              </w:rPr>
              <w:t>アートの魅力発信とアーティストの発掘が主な目的。</w:t>
            </w:r>
          </w:p>
        </w:tc>
        <w:tc>
          <w:tcPr>
            <w:tcW w:w="3296" w:type="dxa"/>
          </w:tcPr>
          <w:p w:rsidR="005A4DDA" w:rsidRPr="00E3597E" w:rsidRDefault="005A4DDA" w:rsidP="00E3597E">
            <w:pPr>
              <w:ind w:left="240" w:hangingChars="100" w:hanging="240"/>
              <w:rPr>
                <w:sz w:val="24"/>
                <w:szCs w:val="24"/>
              </w:rPr>
            </w:pPr>
            <w:r w:rsidRPr="00E3597E">
              <w:rPr>
                <w:rFonts w:hint="eastAsia"/>
                <w:sz w:val="24"/>
                <w:szCs w:val="24"/>
              </w:rPr>
              <w:t>○７名のアーティストの発掘につながるなど一定の成果あり。</w:t>
            </w:r>
          </w:p>
          <w:p w:rsidR="005A4DDA" w:rsidRPr="00E3597E" w:rsidRDefault="005A4DDA" w:rsidP="00E3597E">
            <w:pPr>
              <w:ind w:left="240" w:hangingChars="100" w:hanging="240"/>
              <w:rPr>
                <w:sz w:val="24"/>
                <w:szCs w:val="24"/>
              </w:rPr>
            </w:pPr>
            <w:r w:rsidRPr="00E3597E">
              <w:rPr>
                <w:rFonts w:hint="eastAsia"/>
                <w:sz w:val="24"/>
                <w:szCs w:val="24"/>
              </w:rPr>
              <w:t>●メディアへの露出等の発信力が弱く、認知度の向上につながりにくい。</w:t>
            </w:r>
          </w:p>
          <w:p w:rsidR="005A4DDA" w:rsidRPr="00E3597E" w:rsidRDefault="005A4DDA" w:rsidP="00E3597E">
            <w:pPr>
              <w:ind w:left="240" w:hangingChars="100" w:hanging="240"/>
              <w:rPr>
                <w:sz w:val="24"/>
                <w:szCs w:val="24"/>
              </w:rPr>
            </w:pPr>
            <w:r w:rsidRPr="00E3597E">
              <w:rPr>
                <w:rFonts w:hint="eastAsia"/>
                <w:sz w:val="24"/>
                <w:szCs w:val="24"/>
              </w:rPr>
              <w:t>●公募展での受賞が具体的な支援につながらない。</w:t>
            </w:r>
          </w:p>
        </w:tc>
        <w:tc>
          <w:tcPr>
            <w:tcW w:w="6592" w:type="dxa"/>
          </w:tcPr>
          <w:p w:rsidR="003054F3" w:rsidRDefault="005A4DDA" w:rsidP="003054F3">
            <w:pPr>
              <w:ind w:left="240" w:hangingChars="100" w:hanging="240"/>
              <w:rPr>
                <w:rFonts w:hint="eastAsia"/>
                <w:sz w:val="24"/>
                <w:szCs w:val="24"/>
              </w:rPr>
            </w:pPr>
            <w:r w:rsidRPr="00E3597E">
              <w:rPr>
                <w:rFonts w:hint="eastAsia"/>
                <w:sz w:val="24"/>
                <w:szCs w:val="24"/>
              </w:rPr>
              <w:t>■</w:t>
            </w:r>
            <w:r w:rsidR="003054F3">
              <w:rPr>
                <w:rFonts w:hint="eastAsia"/>
                <w:sz w:val="24"/>
                <w:szCs w:val="24"/>
              </w:rPr>
              <w:t>公募展については、</w:t>
            </w:r>
            <w:r w:rsidR="003054F3" w:rsidRPr="003054F3">
              <w:rPr>
                <w:rFonts w:hint="eastAsia"/>
                <w:sz w:val="24"/>
                <w:szCs w:val="24"/>
              </w:rPr>
              <w:t>これまでの</w:t>
            </w:r>
            <w:r w:rsidR="003054F3">
              <w:rPr>
                <w:rFonts w:hint="eastAsia"/>
                <w:sz w:val="24"/>
                <w:szCs w:val="24"/>
              </w:rPr>
              <w:t>実績・</w:t>
            </w:r>
            <w:r w:rsidR="003054F3" w:rsidRPr="003054F3">
              <w:rPr>
                <w:rFonts w:hint="eastAsia"/>
                <w:sz w:val="24"/>
                <w:szCs w:val="24"/>
              </w:rPr>
              <w:t>経過</w:t>
            </w:r>
            <w:r w:rsidR="003054F3">
              <w:rPr>
                <w:rFonts w:hint="eastAsia"/>
                <w:sz w:val="24"/>
                <w:szCs w:val="24"/>
              </w:rPr>
              <w:t>等</w:t>
            </w:r>
            <w:r w:rsidR="003054F3" w:rsidRPr="003054F3">
              <w:rPr>
                <w:rFonts w:hint="eastAsia"/>
                <w:sz w:val="24"/>
                <w:szCs w:val="24"/>
              </w:rPr>
              <w:t>を踏まえつつ、</w:t>
            </w:r>
            <w:r w:rsidR="003054F3">
              <w:rPr>
                <w:rFonts w:hint="eastAsia"/>
                <w:sz w:val="24"/>
                <w:szCs w:val="24"/>
              </w:rPr>
              <w:t>支援対象とすべきアーティスト・事業所の発掘という観点や公募展そのものの効果も考慮して、</w:t>
            </w:r>
            <w:r w:rsidR="003054F3" w:rsidRPr="003054F3">
              <w:rPr>
                <w:rFonts w:hint="eastAsia"/>
                <w:sz w:val="24"/>
                <w:szCs w:val="24"/>
              </w:rPr>
              <w:t>複数年に一度</w:t>
            </w:r>
            <w:r w:rsidR="003054F3">
              <w:rPr>
                <w:rFonts w:hint="eastAsia"/>
                <w:sz w:val="24"/>
                <w:szCs w:val="24"/>
              </w:rPr>
              <w:t>の開催も</w:t>
            </w:r>
            <w:r w:rsidR="003054F3" w:rsidRPr="003054F3">
              <w:rPr>
                <w:rFonts w:hint="eastAsia"/>
                <w:sz w:val="24"/>
                <w:szCs w:val="24"/>
              </w:rPr>
              <w:t>視野に</w:t>
            </w:r>
            <w:r w:rsidR="003054F3">
              <w:rPr>
                <w:rFonts w:hint="eastAsia"/>
                <w:sz w:val="24"/>
                <w:szCs w:val="24"/>
              </w:rPr>
              <w:t>、そのあり方を検討していく。</w:t>
            </w:r>
          </w:p>
          <w:p w:rsidR="00685D7A" w:rsidRPr="00E3597E" w:rsidRDefault="003054F3" w:rsidP="003054F3">
            <w:pPr>
              <w:ind w:left="240" w:hangingChars="100" w:hanging="240"/>
              <w:rPr>
                <w:sz w:val="24"/>
                <w:szCs w:val="24"/>
              </w:rPr>
            </w:pPr>
            <w:r>
              <w:rPr>
                <w:rFonts w:hint="eastAsia"/>
                <w:sz w:val="24"/>
                <w:szCs w:val="24"/>
              </w:rPr>
              <w:t>■アートの展示全般については、</w:t>
            </w:r>
            <w:r w:rsidRPr="003054F3">
              <w:rPr>
                <w:rFonts w:hint="eastAsia"/>
                <w:sz w:val="24"/>
                <w:szCs w:val="24"/>
              </w:rPr>
              <w:t>通年で、府内各所で府の支援する事業所等による展示が随時行われている環境づくりを進めることで、大阪府の都市魅力としての障がい者アートの定着を図る。</w:t>
            </w:r>
          </w:p>
        </w:tc>
      </w:tr>
      <w:tr w:rsidR="005A4DDA" w:rsidRPr="00E3597E" w:rsidTr="008E09DD">
        <w:tc>
          <w:tcPr>
            <w:tcW w:w="534" w:type="dxa"/>
            <w:vMerge w:val="restart"/>
            <w:tcBorders>
              <w:right w:val="nil"/>
            </w:tcBorders>
            <w:shd w:val="pct15" w:color="auto" w:fill="auto"/>
          </w:tcPr>
          <w:p w:rsidR="00897D95" w:rsidRDefault="00897D95" w:rsidP="002811F7">
            <w:pPr>
              <w:rPr>
                <w:rFonts w:asciiTheme="majorEastAsia" w:eastAsiaTheme="majorEastAsia" w:hAnsiTheme="majorEastAsia"/>
                <w:sz w:val="24"/>
                <w:szCs w:val="24"/>
              </w:rPr>
            </w:pPr>
            <w:r>
              <w:rPr>
                <w:rFonts w:asciiTheme="majorEastAsia" w:eastAsiaTheme="majorEastAsia" w:hAnsiTheme="majorEastAsia" w:hint="eastAsia"/>
                <w:sz w:val="24"/>
                <w:szCs w:val="24"/>
              </w:rPr>
              <w:t>販売等の</w:t>
            </w:r>
          </w:p>
          <w:p w:rsidR="002A3F6C" w:rsidRPr="00E3597E" w:rsidRDefault="008E09DD" w:rsidP="00897D95">
            <w:pPr>
              <w:rPr>
                <w:rFonts w:asciiTheme="majorEastAsia" w:eastAsiaTheme="majorEastAsia" w:hAnsiTheme="majorEastAsia"/>
                <w:sz w:val="24"/>
                <w:szCs w:val="24"/>
              </w:rPr>
            </w:pPr>
            <w:r>
              <w:rPr>
                <w:rFonts w:asciiTheme="majorEastAsia" w:eastAsiaTheme="majorEastAsia" w:hAnsiTheme="majorEastAsia" w:hint="eastAsia"/>
                <w:sz w:val="24"/>
                <w:szCs w:val="24"/>
              </w:rPr>
              <w:t>支援</w:t>
            </w:r>
            <w:r w:rsidR="002A3F6C" w:rsidRPr="00E3597E">
              <w:rPr>
                <w:rFonts w:asciiTheme="majorEastAsia" w:eastAsiaTheme="majorEastAsia" w:hAnsiTheme="majorEastAsia" w:hint="eastAsia"/>
                <w:sz w:val="24"/>
                <w:szCs w:val="24"/>
              </w:rPr>
              <w:t>※</w:t>
            </w:r>
          </w:p>
        </w:tc>
        <w:tc>
          <w:tcPr>
            <w:tcW w:w="992" w:type="dxa"/>
            <w:tcBorders>
              <w:left w:val="nil"/>
              <w:bottom w:val="single" w:sz="4" w:space="0" w:color="auto"/>
            </w:tcBorders>
            <w:shd w:val="pct15" w:color="auto" w:fill="auto"/>
          </w:tcPr>
          <w:p w:rsidR="005A4DDA" w:rsidRPr="00E3597E" w:rsidRDefault="005A4DDA">
            <w:pPr>
              <w:rPr>
                <w:rFonts w:asciiTheme="majorEastAsia" w:eastAsiaTheme="majorEastAsia" w:hAnsiTheme="majorEastAsia"/>
                <w:sz w:val="24"/>
                <w:szCs w:val="24"/>
              </w:rPr>
            </w:pPr>
          </w:p>
        </w:tc>
        <w:tc>
          <w:tcPr>
            <w:tcW w:w="3295" w:type="dxa"/>
          </w:tcPr>
          <w:p w:rsidR="005A4DDA" w:rsidRPr="00E3597E" w:rsidRDefault="005A4DDA" w:rsidP="00E3597E">
            <w:pPr>
              <w:ind w:left="240" w:hangingChars="100" w:hanging="240"/>
              <w:rPr>
                <w:sz w:val="24"/>
                <w:szCs w:val="24"/>
              </w:rPr>
            </w:pPr>
            <w:r w:rsidRPr="00E3597E">
              <w:rPr>
                <w:rFonts w:hint="eastAsia"/>
                <w:sz w:val="24"/>
                <w:szCs w:val="24"/>
              </w:rPr>
              <w:t>■平成</w:t>
            </w:r>
            <w:r w:rsidR="00E3597E">
              <w:rPr>
                <w:rFonts w:hint="eastAsia"/>
                <w:sz w:val="24"/>
                <w:szCs w:val="24"/>
              </w:rPr>
              <w:t>27</w:t>
            </w:r>
            <w:r w:rsidR="00E3597E">
              <w:rPr>
                <w:rFonts w:hint="eastAsia"/>
                <w:sz w:val="24"/>
                <w:szCs w:val="24"/>
              </w:rPr>
              <w:t>年度から</w:t>
            </w:r>
            <w:r w:rsidRPr="00E3597E">
              <w:rPr>
                <w:rFonts w:hint="eastAsia"/>
                <w:sz w:val="24"/>
                <w:szCs w:val="24"/>
              </w:rPr>
              <w:t>今年度までの福祉基金を活用したモデル的取組み。（別紙２参照）</w:t>
            </w:r>
          </w:p>
        </w:tc>
        <w:tc>
          <w:tcPr>
            <w:tcW w:w="3296" w:type="dxa"/>
          </w:tcPr>
          <w:p w:rsidR="005A4DDA" w:rsidRPr="00E3597E" w:rsidRDefault="005A4DDA" w:rsidP="00E3597E">
            <w:pPr>
              <w:ind w:left="240" w:hangingChars="100" w:hanging="240"/>
              <w:rPr>
                <w:sz w:val="24"/>
                <w:szCs w:val="24"/>
              </w:rPr>
            </w:pPr>
            <w:r w:rsidRPr="00E3597E">
              <w:rPr>
                <w:rFonts w:hint="eastAsia"/>
                <w:sz w:val="24"/>
                <w:szCs w:val="24"/>
              </w:rPr>
              <w:t>●モデル的取組みの成果・課題を踏まえた施策の展開。</w:t>
            </w:r>
          </w:p>
        </w:tc>
        <w:tc>
          <w:tcPr>
            <w:tcW w:w="6592" w:type="dxa"/>
          </w:tcPr>
          <w:p w:rsidR="005A4DDA" w:rsidRPr="00E3597E" w:rsidRDefault="002A3F6C" w:rsidP="00E3597E">
            <w:pPr>
              <w:ind w:left="240" w:hangingChars="100" w:hanging="240"/>
              <w:rPr>
                <w:sz w:val="24"/>
                <w:szCs w:val="24"/>
              </w:rPr>
            </w:pPr>
            <w:r w:rsidRPr="00E3597E">
              <w:rPr>
                <w:rFonts w:hint="eastAsia"/>
                <w:sz w:val="24"/>
                <w:szCs w:val="24"/>
              </w:rPr>
              <w:t>■モデル的取組みの成果や課題を踏まえて、府施策として継続的に展開。</w:t>
            </w:r>
          </w:p>
        </w:tc>
      </w:tr>
      <w:tr w:rsidR="002A3F6C" w:rsidRPr="00E3597E" w:rsidTr="008E09DD">
        <w:tc>
          <w:tcPr>
            <w:tcW w:w="534" w:type="dxa"/>
            <w:vMerge/>
            <w:shd w:val="pct15" w:color="auto" w:fill="auto"/>
          </w:tcPr>
          <w:p w:rsidR="002A3F6C" w:rsidRPr="00E3597E" w:rsidRDefault="002A3F6C">
            <w:pPr>
              <w:rPr>
                <w:sz w:val="24"/>
                <w:szCs w:val="24"/>
              </w:rPr>
            </w:pPr>
          </w:p>
        </w:tc>
        <w:tc>
          <w:tcPr>
            <w:tcW w:w="992" w:type="dxa"/>
            <w:shd w:val="pct10" w:color="auto" w:fill="auto"/>
          </w:tcPr>
          <w:p w:rsidR="002A3F6C" w:rsidRPr="00E3597E" w:rsidRDefault="002A3F6C">
            <w:pPr>
              <w:rPr>
                <w:rFonts w:asciiTheme="majorEastAsia" w:eastAsiaTheme="majorEastAsia" w:hAnsiTheme="majorEastAsia"/>
                <w:sz w:val="24"/>
                <w:szCs w:val="24"/>
              </w:rPr>
            </w:pPr>
            <w:r w:rsidRPr="00E3597E">
              <w:rPr>
                <w:rFonts w:asciiTheme="majorEastAsia" w:eastAsiaTheme="majorEastAsia" w:hAnsiTheme="majorEastAsia" w:hint="eastAsia"/>
                <w:sz w:val="24"/>
                <w:szCs w:val="24"/>
              </w:rPr>
              <w:t>事業所等への支援</w:t>
            </w:r>
          </w:p>
        </w:tc>
        <w:tc>
          <w:tcPr>
            <w:tcW w:w="3295" w:type="dxa"/>
          </w:tcPr>
          <w:p w:rsidR="002A3F6C" w:rsidRPr="00E3597E" w:rsidRDefault="002A3F6C" w:rsidP="00E3597E">
            <w:pPr>
              <w:ind w:left="240" w:hangingChars="100" w:hanging="240"/>
              <w:rPr>
                <w:sz w:val="24"/>
                <w:szCs w:val="24"/>
              </w:rPr>
            </w:pPr>
            <w:r w:rsidRPr="00E3597E">
              <w:rPr>
                <w:rFonts w:hint="eastAsia"/>
                <w:sz w:val="24"/>
                <w:szCs w:val="24"/>
              </w:rPr>
              <w:t>■公募展入賞者を中心に販売等支援の対象となるアーティストを発掘。</w:t>
            </w:r>
          </w:p>
          <w:p w:rsidR="002A3F6C" w:rsidRPr="00E3597E" w:rsidRDefault="002A3F6C" w:rsidP="00E3597E">
            <w:pPr>
              <w:ind w:left="240" w:hangingChars="100" w:hanging="240"/>
              <w:rPr>
                <w:sz w:val="24"/>
                <w:szCs w:val="24"/>
              </w:rPr>
            </w:pPr>
            <w:r w:rsidRPr="00E3597E">
              <w:rPr>
                <w:rFonts w:hint="eastAsia"/>
                <w:sz w:val="24"/>
                <w:szCs w:val="24"/>
              </w:rPr>
              <w:t>■アーティストが通所する事業所等へのアドバイス等も含めた支援を併せて展開。</w:t>
            </w:r>
          </w:p>
        </w:tc>
        <w:tc>
          <w:tcPr>
            <w:tcW w:w="3296" w:type="dxa"/>
          </w:tcPr>
          <w:p w:rsidR="002A3F6C" w:rsidRPr="00E3597E" w:rsidRDefault="002A3F6C" w:rsidP="00E3597E">
            <w:pPr>
              <w:ind w:left="240" w:hangingChars="100" w:hanging="240"/>
              <w:rPr>
                <w:sz w:val="24"/>
                <w:szCs w:val="24"/>
              </w:rPr>
            </w:pPr>
            <w:r w:rsidRPr="00E3597E">
              <w:rPr>
                <w:rFonts w:hint="eastAsia"/>
                <w:sz w:val="24"/>
                <w:szCs w:val="24"/>
              </w:rPr>
              <w:t>○カペイシャスによる支援により、事業所等の独自のアートの販売活動やアーティストへの支援体制の充実が図られている。</w:t>
            </w:r>
          </w:p>
          <w:p w:rsidR="002A3F6C" w:rsidRPr="00E3597E" w:rsidRDefault="002A3F6C" w:rsidP="00E3597E">
            <w:pPr>
              <w:ind w:left="240" w:hangingChars="100" w:hanging="240"/>
              <w:rPr>
                <w:sz w:val="24"/>
                <w:szCs w:val="24"/>
              </w:rPr>
            </w:pPr>
            <w:r w:rsidRPr="00E3597E">
              <w:rPr>
                <w:rFonts w:hint="eastAsia"/>
                <w:sz w:val="24"/>
                <w:szCs w:val="24"/>
              </w:rPr>
              <w:t>○支援を受けている事業所等からの継続支援のニーズ大。</w:t>
            </w:r>
          </w:p>
        </w:tc>
        <w:tc>
          <w:tcPr>
            <w:tcW w:w="6592" w:type="dxa"/>
            <w:vMerge w:val="restart"/>
          </w:tcPr>
          <w:p w:rsidR="002A3F6C" w:rsidRPr="00E3597E" w:rsidRDefault="002A3F6C">
            <w:pPr>
              <w:rPr>
                <w:sz w:val="24"/>
                <w:szCs w:val="24"/>
              </w:rPr>
            </w:pPr>
            <w:r w:rsidRPr="00E3597E">
              <w:rPr>
                <w:rFonts w:hint="eastAsia"/>
                <w:sz w:val="24"/>
                <w:szCs w:val="24"/>
              </w:rPr>
              <w:t>■</w:t>
            </w:r>
            <w:r w:rsidR="008E09DD">
              <w:rPr>
                <w:rFonts w:hint="eastAsia"/>
                <w:sz w:val="24"/>
                <w:szCs w:val="24"/>
              </w:rPr>
              <w:t>事業所等独自の障がい者アートに関する取組みを支援。</w:t>
            </w:r>
          </w:p>
          <w:p w:rsidR="004420D5" w:rsidRPr="00E3597E" w:rsidRDefault="004420D5">
            <w:pPr>
              <w:rPr>
                <w:sz w:val="24"/>
                <w:szCs w:val="24"/>
              </w:rPr>
            </w:pPr>
            <w:r w:rsidRPr="00E3597E">
              <w:rPr>
                <w:rFonts w:hint="eastAsia"/>
                <w:sz w:val="24"/>
                <w:szCs w:val="24"/>
              </w:rPr>
              <w:t xml:space="preserve">　－アートの展示</w:t>
            </w:r>
          </w:p>
          <w:p w:rsidR="004420D5" w:rsidRPr="00E3597E" w:rsidRDefault="004420D5" w:rsidP="00E3597E">
            <w:pPr>
              <w:ind w:left="480" w:hangingChars="200" w:hanging="480"/>
              <w:rPr>
                <w:sz w:val="24"/>
                <w:szCs w:val="24"/>
              </w:rPr>
            </w:pPr>
            <w:r w:rsidRPr="00E3597E">
              <w:rPr>
                <w:rFonts w:hint="eastAsia"/>
                <w:sz w:val="24"/>
                <w:szCs w:val="24"/>
              </w:rPr>
              <w:t xml:space="preserve">　　通年で、府内各所で府の支援する事業所等による展示が随時行われている環境づくりを進めることで、大阪府の都市魅力としての障がい者アートの定着を図る</w:t>
            </w:r>
            <w:r w:rsidR="003054F3">
              <w:rPr>
                <w:rFonts w:hint="eastAsia"/>
                <w:sz w:val="24"/>
                <w:szCs w:val="24"/>
              </w:rPr>
              <w:t>（再掲）</w:t>
            </w:r>
            <w:bookmarkStart w:id="0" w:name="_GoBack"/>
            <w:bookmarkEnd w:id="0"/>
            <w:r w:rsidRPr="00E3597E">
              <w:rPr>
                <w:rFonts w:hint="eastAsia"/>
                <w:sz w:val="24"/>
                <w:szCs w:val="24"/>
              </w:rPr>
              <w:t>。</w:t>
            </w:r>
          </w:p>
          <w:p w:rsidR="004420D5" w:rsidRPr="00E3597E" w:rsidRDefault="004420D5" w:rsidP="004420D5">
            <w:pPr>
              <w:rPr>
                <w:sz w:val="24"/>
                <w:szCs w:val="24"/>
              </w:rPr>
            </w:pPr>
            <w:r w:rsidRPr="00E3597E">
              <w:rPr>
                <w:rFonts w:hint="eastAsia"/>
                <w:sz w:val="24"/>
                <w:szCs w:val="24"/>
              </w:rPr>
              <w:t xml:space="preserve">　－アートの販売・２次利用</w:t>
            </w:r>
          </w:p>
          <w:p w:rsidR="004420D5" w:rsidRPr="00E3597E" w:rsidRDefault="004420D5" w:rsidP="004420D5">
            <w:pPr>
              <w:rPr>
                <w:sz w:val="24"/>
                <w:szCs w:val="24"/>
              </w:rPr>
            </w:pPr>
            <w:r w:rsidRPr="00E3597E">
              <w:rPr>
                <w:rFonts w:hint="eastAsia"/>
                <w:sz w:val="24"/>
                <w:szCs w:val="24"/>
              </w:rPr>
              <w:t xml:space="preserve">　　事業所等による独自の販売・２次利用の支援を行う。</w:t>
            </w:r>
          </w:p>
          <w:p w:rsidR="004420D5" w:rsidRPr="00E3597E" w:rsidRDefault="004420D5" w:rsidP="004420D5">
            <w:pPr>
              <w:rPr>
                <w:sz w:val="24"/>
                <w:szCs w:val="24"/>
              </w:rPr>
            </w:pPr>
            <w:r w:rsidRPr="00E3597E">
              <w:rPr>
                <w:rFonts w:hint="eastAsia"/>
                <w:sz w:val="24"/>
                <w:szCs w:val="24"/>
              </w:rPr>
              <w:t xml:space="preserve">　－事業所等の交流・</w:t>
            </w:r>
            <w:r w:rsidR="00E3597E" w:rsidRPr="00E3597E">
              <w:rPr>
                <w:rFonts w:hint="eastAsia"/>
                <w:sz w:val="24"/>
                <w:szCs w:val="24"/>
              </w:rPr>
              <w:t>共同企画の促進</w:t>
            </w:r>
          </w:p>
          <w:p w:rsidR="00E3597E" w:rsidRPr="00E3597E" w:rsidRDefault="00E3597E" w:rsidP="004420D5">
            <w:pPr>
              <w:rPr>
                <w:sz w:val="24"/>
                <w:szCs w:val="24"/>
              </w:rPr>
            </w:pPr>
            <w:r w:rsidRPr="00E3597E">
              <w:rPr>
                <w:rFonts w:hint="eastAsia"/>
                <w:sz w:val="24"/>
                <w:szCs w:val="24"/>
              </w:rPr>
              <w:t>■公募展を通じて発掘したアーティストの販売等支援</w:t>
            </w:r>
            <w:r w:rsidR="008E09DD">
              <w:rPr>
                <w:rFonts w:hint="eastAsia"/>
                <w:sz w:val="24"/>
                <w:szCs w:val="24"/>
              </w:rPr>
              <w:t>。</w:t>
            </w:r>
          </w:p>
          <w:p w:rsidR="00E3597E" w:rsidRPr="00E3597E" w:rsidRDefault="00E3597E" w:rsidP="004420D5">
            <w:pPr>
              <w:rPr>
                <w:sz w:val="24"/>
                <w:szCs w:val="24"/>
              </w:rPr>
            </w:pPr>
            <w:r w:rsidRPr="00E3597E">
              <w:rPr>
                <w:rFonts w:hint="eastAsia"/>
                <w:sz w:val="24"/>
                <w:szCs w:val="24"/>
              </w:rPr>
              <w:t xml:space="preserve">　－発掘したアーティストの販売等支援を展開</w:t>
            </w:r>
          </w:p>
          <w:p w:rsidR="00E3597E" w:rsidRPr="00E3597E" w:rsidRDefault="002423D0" w:rsidP="004420D5">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55B05899" wp14:editId="6943D7B2">
                      <wp:simplePos x="0" y="0"/>
                      <wp:positionH relativeFrom="column">
                        <wp:posOffset>4169877</wp:posOffset>
                      </wp:positionH>
                      <wp:positionV relativeFrom="paragraph">
                        <wp:posOffset>301326</wp:posOffset>
                      </wp:positionV>
                      <wp:extent cx="361507" cy="914016"/>
                      <wp:effectExtent l="0" t="0" r="19685" b="19685"/>
                      <wp:wrapNone/>
                      <wp:docPr id="1" name="正方形/長方形 1"/>
                      <wp:cNvGraphicFramePr/>
                      <a:graphic xmlns:a="http://schemas.openxmlformats.org/drawingml/2006/main">
                        <a:graphicData uri="http://schemas.microsoft.com/office/word/2010/wordprocessingShape">
                          <wps:wsp>
                            <wps:cNvSpPr/>
                            <wps:spPr>
                              <a:xfrm>
                                <a:off x="0" y="0"/>
                                <a:ext cx="361507" cy="914016"/>
                              </a:xfrm>
                              <a:prstGeom prst="rect">
                                <a:avLst/>
                              </a:prstGeom>
                            </wps:spPr>
                            <wps:style>
                              <a:lnRef idx="2">
                                <a:schemeClr val="accent6"/>
                              </a:lnRef>
                              <a:fillRef idx="1">
                                <a:schemeClr val="lt1"/>
                              </a:fillRef>
                              <a:effectRef idx="0">
                                <a:schemeClr val="accent6"/>
                              </a:effectRef>
                              <a:fontRef idx="minor">
                                <a:schemeClr val="dk1"/>
                              </a:fontRef>
                            </wps:style>
                            <wps:txbx>
                              <w:txbxContent>
                                <w:p w:rsidR="002423D0" w:rsidRPr="002423D0" w:rsidRDefault="002423D0" w:rsidP="002423D0">
                                  <w:pPr>
                                    <w:jc w:val="center"/>
                                    <w:rPr>
                                      <w:spacing w:val="20"/>
                                      <w:sz w:val="24"/>
                                      <w:szCs w:val="24"/>
                                    </w:rPr>
                                  </w:pPr>
                                  <w:r w:rsidRPr="002423D0">
                                    <w:rPr>
                                      <w:rFonts w:ascii="ＭＳ Ｐゴシック" w:eastAsia="ＭＳ Ｐゴシック" w:hAnsi="ＭＳ Ｐゴシック" w:hint="eastAsia"/>
                                      <w:spacing w:val="20"/>
                                      <w:sz w:val="24"/>
                                      <w:szCs w:val="24"/>
                                    </w:rPr>
                                    <w:t>資料３</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28.35pt;margin-top:23.75pt;width:28.45pt;height:7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" fillcolor="white [3201]" strokecolor="#f79646 [3209]" strokeweight="2pt">
                      <v:textbox style="layout-flow:vertical">
                        <w:txbxContent>
                          <w:p w:rsidR="002423D0" w:rsidRPr="002423D0" w:rsidRDefault="002423D0" w:rsidP="002423D0">
                            <w:pPr>
                              <w:jc w:val="center"/>
                              <w:rPr>
                                <w:spacing w:val="20"/>
                                <w:sz w:val="24"/>
                                <w:szCs w:val="24"/>
                              </w:rPr>
                            </w:pPr>
                            <w:bookmarkStart w:id="1" w:name="_GoBack"/>
                            <w:r w:rsidRPr="002423D0">
                              <w:rPr>
                                <w:rFonts w:ascii="ＭＳ Ｐゴシック" w:eastAsia="ＭＳ Ｐゴシック" w:hAnsi="ＭＳ Ｐゴシック" w:hint="eastAsia"/>
                                <w:spacing w:val="20"/>
                                <w:sz w:val="24"/>
                                <w:szCs w:val="24"/>
                              </w:rPr>
                              <w:t>資料３</w:t>
                            </w:r>
                            <w:bookmarkEnd w:id="1"/>
                          </w:p>
                        </w:txbxContent>
                      </v:textbox>
                    </v:rect>
                  </w:pict>
                </mc:Fallback>
              </mc:AlternateContent>
            </w:r>
            <w:r w:rsidR="00E3597E" w:rsidRPr="00E3597E">
              <w:rPr>
                <w:rFonts w:hint="eastAsia"/>
                <w:sz w:val="24"/>
                <w:szCs w:val="24"/>
              </w:rPr>
              <w:t xml:space="preserve">　－販売等支援のための拠点確保・運営</w:t>
            </w:r>
          </w:p>
        </w:tc>
      </w:tr>
      <w:tr w:rsidR="002A3F6C" w:rsidRPr="00E3597E" w:rsidTr="008E09DD">
        <w:tc>
          <w:tcPr>
            <w:tcW w:w="534" w:type="dxa"/>
            <w:vMerge/>
            <w:shd w:val="pct15" w:color="auto" w:fill="auto"/>
          </w:tcPr>
          <w:p w:rsidR="002A3F6C" w:rsidRPr="00E3597E" w:rsidRDefault="002A3F6C">
            <w:pPr>
              <w:rPr>
                <w:sz w:val="24"/>
                <w:szCs w:val="24"/>
              </w:rPr>
            </w:pPr>
          </w:p>
        </w:tc>
        <w:tc>
          <w:tcPr>
            <w:tcW w:w="992" w:type="dxa"/>
            <w:shd w:val="pct10" w:color="auto" w:fill="auto"/>
          </w:tcPr>
          <w:p w:rsidR="002A3F6C" w:rsidRPr="00E3597E" w:rsidRDefault="002A3F6C">
            <w:pPr>
              <w:rPr>
                <w:rFonts w:asciiTheme="majorEastAsia" w:eastAsiaTheme="majorEastAsia" w:hAnsiTheme="majorEastAsia"/>
                <w:sz w:val="24"/>
                <w:szCs w:val="24"/>
              </w:rPr>
            </w:pPr>
            <w:r w:rsidRPr="00E3597E">
              <w:rPr>
                <w:rFonts w:asciiTheme="majorEastAsia" w:eastAsiaTheme="majorEastAsia" w:hAnsiTheme="majorEastAsia" w:hint="eastAsia"/>
                <w:sz w:val="24"/>
                <w:szCs w:val="24"/>
              </w:rPr>
              <w:t>販売等の支援</w:t>
            </w:r>
          </w:p>
        </w:tc>
        <w:tc>
          <w:tcPr>
            <w:tcW w:w="3295" w:type="dxa"/>
          </w:tcPr>
          <w:p w:rsidR="002A3F6C" w:rsidRPr="00E3597E" w:rsidRDefault="002A3F6C" w:rsidP="00E3597E">
            <w:pPr>
              <w:ind w:left="240" w:hangingChars="100" w:hanging="240"/>
              <w:rPr>
                <w:sz w:val="24"/>
                <w:szCs w:val="24"/>
              </w:rPr>
            </w:pPr>
            <w:r w:rsidRPr="00E3597E">
              <w:rPr>
                <w:rFonts w:hint="eastAsia"/>
                <w:sz w:val="24"/>
                <w:szCs w:val="24"/>
              </w:rPr>
              <w:t>■アーティストの作品の販売支援を展開。</w:t>
            </w:r>
          </w:p>
          <w:p w:rsidR="002A3F6C" w:rsidRPr="00E3597E" w:rsidRDefault="002A3F6C" w:rsidP="00E3597E">
            <w:pPr>
              <w:ind w:left="240" w:hangingChars="100" w:hanging="240"/>
              <w:rPr>
                <w:sz w:val="24"/>
                <w:szCs w:val="24"/>
              </w:rPr>
            </w:pPr>
            <w:r w:rsidRPr="00E3597E">
              <w:rPr>
                <w:rFonts w:hint="eastAsia"/>
                <w:sz w:val="24"/>
                <w:szCs w:val="24"/>
              </w:rPr>
              <w:t>■結果的に２次利用に結びついたアーティストあり。</w:t>
            </w:r>
          </w:p>
        </w:tc>
        <w:tc>
          <w:tcPr>
            <w:tcW w:w="3296" w:type="dxa"/>
          </w:tcPr>
          <w:p w:rsidR="002A3F6C" w:rsidRPr="00E3597E" w:rsidRDefault="002A3F6C" w:rsidP="00E3597E">
            <w:pPr>
              <w:ind w:left="240" w:hangingChars="100" w:hanging="240"/>
              <w:rPr>
                <w:sz w:val="24"/>
                <w:szCs w:val="24"/>
              </w:rPr>
            </w:pPr>
            <w:r w:rsidRPr="00E3597E">
              <w:rPr>
                <w:rFonts w:hint="eastAsia"/>
                <w:sz w:val="24"/>
                <w:szCs w:val="24"/>
              </w:rPr>
              <w:t>○販売等支援の結果、高額取引されるアーティストも出現。</w:t>
            </w:r>
          </w:p>
          <w:p w:rsidR="002A3F6C" w:rsidRPr="00E3597E" w:rsidRDefault="002A3F6C" w:rsidP="00E3597E">
            <w:pPr>
              <w:ind w:left="240" w:hangingChars="100" w:hanging="240"/>
              <w:rPr>
                <w:sz w:val="24"/>
                <w:szCs w:val="24"/>
              </w:rPr>
            </w:pPr>
            <w:r w:rsidRPr="00E3597E">
              <w:rPr>
                <w:rFonts w:hint="eastAsia"/>
                <w:sz w:val="24"/>
                <w:szCs w:val="24"/>
              </w:rPr>
              <w:t>●費用対効果の面では、難あり（特に海外展開）。</w:t>
            </w:r>
          </w:p>
        </w:tc>
        <w:tc>
          <w:tcPr>
            <w:tcW w:w="6592" w:type="dxa"/>
            <w:vMerge/>
          </w:tcPr>
          <w:p w:rsidR="002A3F6C" w:rsidRPr="00E3597E" w:rsidRDefault="002A3F6C">
            <w:pPr>
              <w:rPr>
                <w:sz w:val="24"/>
                <w:szCs w:val="24"/>
              </w:rPr>
            </w:pPr>
          </w:p>
        </w:tc>
      </w:tr>
    </w:tbl>
    <w:p w:rsidR="00E3597E" w:rsidRPr="00E3597E" w:rsidRDefault="002A3F6C" w:rsidP="00E3597E">
      <w:pPr>
        <w:spacing w:line="0" w:lineRule="atLeast"/>
        <w:ind w:left="240" w:hangingChars="300" w:hanging="240"/>
        <w:rPr>
          <w:sz w:val="8"/>
          <w:szCs w:val="8"/>
        </w:rPr>
      </w:pPr>
      <w:r w:rsidRPr="00E3597E">
        <w:rPr>
          <w:rFonts w:hint="eastAsia"/>
          <w:sz w:val="8"/>
          <w:szCs w:val="8"/>
        </w:rPr>
        <w:t xml:space="preserve">　　</w:t>
      </w:r>
    </w:p>
    <w:p w:rsidR="002A3F6C" w:rsidRPr="00E3597E" w:rsidRDefault="002A3F6C" w:rsidP="00E3597E">
      <w:pPr>
        <w:spacing w:line="0" w:lineRule="atLeast"/>
        <w:ind w:leftChars="200" w:left="630" w:hangingChars="100" w:hanging="210"/>
        <w:rPr>
          <w:szCs w:val="21"/>
        </w:rPr>
      </w:pPr>
      <w:r w:rsidRPr="00E3597E">
        <w:rPr>
          <w:rFonts w:hint="eastAsia"/>
          <w:szCs w:val="21"/>
        </w:rPr>
        <w:t>※大阪府福祉基金を活用し、</w:t>
      </w:r>
      <w:r w:rsidR="008E09DD" w:rsidRPr="00E3597E">
        <w:rPr>
          <w:rFonts w:hint="eastAsia"/>
          <w:szCs w:val="21"/>
        </w:rPr>
        <w:t>平成２７年度からの３か年で、</w:t>
      </w:r>
      <w:r w:rsidRPr="00E3597E">
        <w:rPr>
          <w:rFonts w:hint="eastAsia"/>
          <w:szCs w:val="21"/>
        </w:rPr>
        <w:t>大阪府公募展入賞者等を対象とした</w:t>
      </w:r>
      <w:r w:rsidR="008E09DD">
        <w:rPr>
          <w:rFonts w:hint="eastAsia"/>
          <w:szCs w:val="21"/>
        </w:rPr>
        <w:t>事業所等への支援や販売等の支援をモデル的に実施。　　その都度、</w:t>
      </w:r>
      <w:r w:rsidRPr="00E3597E">
        <w:rPr>
          <w:rFonts w:hint="eastAsia"/>
          <w:szCs w:val="21"/>
        </w:rPr>
        <w:t>事業実施主体を公募し、３か年とも「カペイシャス」</w:t>
      </w:r>
      <w:r w:rsidR="0029268B">
        <w:rPr>
          <w:rFonts w:hint="eastAsia"/>
          <w:szCs w:val="21"/>
        </w:rPr>
        <w:t>という名称・コンセプトの</w:t>
      </w:r>
      <w:r w:rsidRPr="00E3597E">
        <w:rPr>
          <w:rFonts w:hint="eastAsia"/>
          <w:szCs w:val="21"/>
        </w:rPr>
        <w:t>取組みが選定された。今後</w:t>
      </w:r>
      <w:r w:rsidR="0029268B">
        <w:rPr>
          <w:rFonts w:hint="eastAsia"/>
          <w:szCs w:val="21"/>
        </w:rPr>
        <w:t>の方向性については</w:t>
      </w:r>
      <w:r w:rsidRPr="00E3597E">
        <w:rPr>
          <w:rFonts w:hint="eastAsia"/>
          <w:szCs w:val="21"/>
        </w:rPr>
        <w:t>、</w:t>
      </w:r>
      <w:r w:rsidR="0029268B">
        <w:rPr>
          <w:rFonts w:hint="eastAsia"/>
          <w:szCs w:val="21"/>
        </w:rPr>
        <w:t>「カペイシャス」の取組み結果を踏まえたものとなっている。</w:t>
      </w:r>
    </w:p>
    <w:sectPr w:rsidR="002A3F6C" w:rsidRPr="00E3597E" w:rsidSect="00E3597E">
      <w:pgSz w:w="16838" w:h="11906" w:orient="landscape" w:code="9"/>
      <w:pgMar w:top="567" w:right="1103" w:bottom="5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F1" w:rsidRDefault="003529F1" w:rsidP="008E09DD">
      <w:r>
        <w:separator/>
      </w:r>
    </w:p>
  </w:endnote>
  <w:endnote w:type="continuationSeparator" w:id="0">
    <w:p w:rsidR="003529F1" w:rsidRDefault="003529F1" w:rsidP="008E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F1" w:rsidRDefault="003529F1" w:rsidP="008E09DD">
      <w:r>
        <w:separator/>
      </w:r>
    </w:p>
  </w:footnote>
  <w:footnote w:type="continuationSeparator" w:id="0">
    <w:p w:rsidR="003529F1" w:rsidRDefault="003529F1" w:rsidP="008E0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D0"/>
    <w:rsid w:val="000B3BE8"/>
    <w:rsid w:val="00161F1A"/>
    <w:rsid w:val="002414D0"/>
    <w:rsid w:val="002423D0"/>
    <w:rsid w:val="0029268B"/>
    <w:rsid w:val="002A3F6C"/>
    <w:rsid w:val="002B0601"/>
    <w:rsid w:val="003054F3"/>
    <w:rsid w:val="003529F1"/>
    <w:rsid w:val="00431017"/>
    <w:rsid w:val="004420D5"/>
    <w:rsid w:val="004B6467"/>
    <w:rsid w:val="00595F62"/>
    <w:rsid w:val="005A4DDA"/>
    <w:rsid w:val="005F433B"/>
    <w:rsid w:val="00684D7A"/>
    <w:rsid w:val="00685D7A"/>
    <w:rsid w:val="007C3678"/>
    <w:rsid w:val="007D2263"/>
    <w:rsid w:val="00897D95"/>
    <w:rsid w:val="008E09DD"/>
    <w:rsid w:val="00BA2E1B"/>
    <w:rsid w:val="00C953C1"/>
    <w:rsid w:val="00CE4EF5"/>
    <w:rsid w:val="00E35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09DD"/>
    <w:pPr>
      <w:tabs>
        <w:tab w:val="center" w:pos="4252"/>
        <w:tab w:val="right" w:pos="8504"/>
      </w:tabs>
      <w:snapToGrid w:val="0"/>
    </w:pPr>
  </w:style>
  <w:style w:type="character" w:customStyle="1" w:styleId="a5">
    <w:name w:val="ヘッダー (文字)"/>
    <w:basedOn w:val="a0"/>
    <w:link w:val="a4"/>
    <w:uiPriority w:val="99"/>
    <w:rsid w:val="008E09DD"/>
  </w:style>
  <w:style w:type="paragraph" w:styleId="a6">
    <w:name w:val="footer"/>
    <w:basedOn w:val="a"/>
    <w:link w:val="a7"/>
    <w:uiPriority w:val="99"/>
    <w:unhideWhenUsed/>
    <w:rsid w:val="008E09DD"/>
    <w:pPr>
      <w:tabs>
        <w:tab w:val="center" w:pos="4252"/>
        <w:tab w:val="right" w:pos="8504"/>
      </w:tabs>
      <w:snapToGrid w:val="0"/>
    </w:pPr>
  </w:style>
  <w:style w:type="character" w:customStyle="1" w:styleId="a7">
    <w:name w:val="フッター (文字)"/>
    <w:basedOn w:val="a0"/>
    <w:link w:val="a6"/>
    <w:uiPriority w:val="99"/>
    <w:rsid w:val="008E0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09DD"/>
    <w:pPr>
      <w:tabs>
        <w:tab w:val="center" w:pos="4252"/>
        <w:tab w:val="right" w:pos="8504"/>
      </w:tabs>
      <w:snapToGrid w:val="0"/>
    </w:pPr>
  </w:style>
  <w:style w:type="character" w:customStyle="1" w:styleId="a5">
    <w:name w:val="ヘッダー (文字)"/>
    <w:basedOn w:val="a0"/>
    <w:link w:val="a4"/>
    <w:uiPriority w:val="99"/>
    <w:rsid w:val="008E09DD"/>
  </w:style>
  <w:style w:type="paragraph" w:styleId="a6">
    <w:name w:val="footer"/>
    <w:basedOn w:val="a"/>
    <w:link w:val="a7"/>
    <w:uiPriority w:val="99"/>
    <w:unhideWhenUsed/>
    <w:rsid w:val="008E09DD"/>
    <w:pPr>
      <w:tabs>
        <w:tab w:val="center" w:pos="4252"/>
        <w:tab w:val="right" w:pos="8504"/>
      </w:tabs>
      <w:snapToGrid w:val="0"/>
    </w:pPr>
  </w:style>
  <w:style w:type="character" w:customStyle="1" w:styleId="a7">
    <w:name w:val="フッター (文字)"/>
    <w:basedOn w:val="a0"/>
    <w:link w:val="a6"/>
    <w:uiPriority w:val="99"/>
    <w:rsid w:val="008E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2017-08-29T07:31:00Z</cp:lastPrinted>
  <dcterms:created xsi:type="dcterms:W3CDTF">2017-09-28T16:43:00Z</dcterms:created>
  <dcterms:modified xsi:type="dcterms:W3CDTF">2017-09-28T16:43:00Z</dcterms:modified>
</cp:coreProperties>
</file>