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B540A1" w:rsidP="002A391B">
      <w:pPr>
        <w:jc w:val="center"/>
        <w:rPr>
          <w:b/>
          <w:sz w:val="24"/>
          <w:szCs w:val="24"/>
        </w:rPr>
      </w:pPr>
      <w:r>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12627610</wp:posOffset>
                </wp:positionH>
                <wp:positionV relativeFrom="paragraph">
                  <wp:posOffset>-738068</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資 料 ６</w:t>
                            </w:r>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94.3pt;margin-top:-58.1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資 料 ６</w:t>
                      </w:r>
                    </w:p>
                  </w:txbxContent>
                </v:textbox>
              </v:rect>
            </w:pict>
          </mc:Fallback>
        </mc:AlternateContent>
      </w:r>
      <w:r w:rsidR="00EC6BF6">
        <w:rPr>
          <w:rFonts w:hint="eastAsia"/>
          <w:b/>
          <w:sz w:val="24"/>
          <w:szCs w:val="24"/>
        </w:rPr>
        <w:t>平成３０</w:t>
      </w:r>
      <w:r w:rsidR="002A391B">
        <w:rPr>
          <w:rFonts w:hint="eastAsia"/>
          <w:b/>
          <w:sz w:val="24"/>
          <w:szCs w:val="24"/>
        </w:rPr>
        <w:t>年度</w:t>
      </w:r>
      <w:r w:rsidR="00E5514B" w:rsidRPr="00772DA8">
        <w:rPr>
          <w:rFonts w:hint="eastAsia"/>
          <w:b/>
          <w:sz w:val="24"/>
          <w:szCs w:val="24"/>
        </w:rPr>
        <w:t>モニタリング評価実施による改善のための対応方針</w:t>
      </w:r>
    </w:p>
    <w:p w:rsidR="00971652" w:rsidRDefault="00B27EA2" w:rsidP="00C31DE7">
      <w:pPr>
        <w:ind w:right="840" w:firstLineChars="7800" w:firstLine="16380"/>
      </w:pPr>
      <w:r>
        <w:rPr>
          <w:rFonts w:hint="eastAsia"/>
        </w:rPr>
        <w:t>施設名：　大阪府立国際会議場</w:t>
      </w:r>
    </w:p>
    <w:tbl>
      <w:tblPr>
        <w:tblStyle w:val="a3"/>
        <w:tblW w:w="0" w:type="auto"/>
        <w:tblLook w:val="04A0" w:firstRow="1" w:lastRow="0" w:firstColumn="1" w:lastColumn="0" w:noHBand="0" w:noVBand="1"/>
      </w:tblPr>
      <w:tblGrid>
        <w:gridCol w:w="534"/>
        <w:gridCol w:w="2976"/>
        <w:gridCol w:w="4394"/>
        <w:gridCol w:w="4639"/>
        <w:gridCol w:w="4609"/>
        <w:gridCol w:w="4610"/>
      </w:tblGrid>
      <w:tr w:rsidR="00B2163D" w:rsidTr="007F0FAD">
        <w:trPr>
          <w:trHeight w:val="842"/>
        </w:trPr>
        <w:tc>
          <w:tcPr>
            <w:tcW w:w="3510" w:type="dxa"/>
            <w:gridSpan w:val="2"/>
          </w:tcPr>
          <w:p w:rsidR="00B2163D" w:rsidRPr="00B27EA2" w:rsidRDefault="00B2163D" w:rsidP="00B2163D">
            <w:pPr>
              <w:spacing w:line="600" w:lineRule="auto"/>
              <w:jc w:val="center"/>
              <w:rPr>
                <w:sz w:val="24"/>
                <w:szCs w:val="24"/>
              </w:rPr>
            </w:pPr>
            <w:r w:rsidRPr="00B27EA2">
              <w:rPr>
                <w:rFonts w:hint="eastAsia"/>
                <w:sz w:val="24"/>
                <w:szCs w:val="24"/>
              </w:rPr>
              <w:t>評価項目</w:t>
            </w:r>
          </w:p>
        </w:tc>
        <w:tc>
          <w:tcPr>
            <w:tcW w:w="4394" w:type="dxa"/>
          </w:tcPr>
          <w:p w:rsidR="00B2163D" w:rsidRPr="00B27EA2" w:rsidRDefault="00B2163D" w:rsidP="00B27EA2">
            <w:pPr>
              <w:spacing w:line="600" w:lineRule="auto"/>
              <w:jc w:val="center"/>
              <w:rPr>
                <w:sz w:val="24"/>
                <w:szCs w:val="24"/>
              </w:rPr>
            </w:pPr>
            <w:r w:rsidRPr="00B27EA2">
              <w:rPr>
                <w:rFonts w:hint="eastAsia"/>
                <w:sz w:val="24"/>
                <w:szCs w:val="24"/>
              </w:rPr>
              <w:t>評価基準</w:t>
            </w:r>
          </w:p>
        </w:tc>
        <w:tc>
          <w:tcPr>
            <w:tcW w:w="4639" w:type="dxa"/>
          </w:tcPr>
          <w:p w:rsidR="00B2163D" w:rsidRPr="00B27EA2" w:rsidRDefault="00B2163D" w:rsidP="00B27EA2">
            <w:pPr>
              <w:spacing w:line="600" w:lineRule="auto"/>
              <w:jc w:val="center"/>
              <w:rPr>
                <w:sz w:val="24"/>
                <w:szCs w:val="24"/>
              </w:rPr>
            </w:pPr>
            <w:r w:rsidRPr="00B27EA2">
              <w:rPr>
                <w:rFonts w:hint="eastAsia"/>
                <w:sz w:val="24"/>
                <w:szCs w:val="24"/>
              </w:rPr>
              <w:t>評価委員</w:t>
            </w:r>
            <w:r w:rsidR="00C3289F">
              <w:rPr>
                <w:rFonts w:hint="eastAsia"/>
                <w:sz w:val="24"/>
                <w:szCs w:val="24"/>
              </w:rPr>
              <w:t>会</w:t>
            </w:r>
            <w:r w:rsidRPr="00B27EA2">
              <w:rPr>
                <w:rFonts w:hint="eastAsia"/>
                <w:sz w:val="24"/>
                <w:szCs w:val="24"/>
              </w:rPr>
              <w:t>の指摘・提言等</w:t>
            </w:r>
          </w:p>
        </w:tc>
        <w:tc>
          <w:tcPr>
            <w:tcW w:w="4609" w:type="dxa"/>
          </w:tcPr>
          <w:p w:rsidR="00B2163D" w:rsidRPr="00B27EA2" w:rsidRDefault="00B2163D" w:rsidP="00B27EA2">
            <w:pPr>
              <w:spacing w:line="600" w:lineRule="auto"/>
              <w:jc w:val="center"/>
              <w:rPr>
                <w:sz w:val="24"/>
                <w:szCs w:val="24"/>
              </w:rPr>
            </w:pPr>
            <w:r w:rsidRPr="00B27EA2">
              <w:rPr>
                <w:rFonts w:hint="eastAsia"/>
                <w:sz w:val="24"/>
                <w:szCs w:val="24"/>
              </w:rPr>
              <w:t>改善のための対応方針</w:t>
            </w:r>
          </w:p>
        </w:tc>
        <w:tc>
          <w:tcPr>
            <w:tcW w:w="4610" w:type="dxa"/>
          </w:tcPr>
          <w:p w:rsidR="00B2163D" w:rsidRPr="00B27EA2" w:rsidRDefault="00B2163D" w:rsidP="00B27EA2">
            <w:pPr>
              <w:spacing w:line="600" w:lineRule="auto"/>
              <w:jc w:val="center"/>
              <w:rPr>
                <w:sz w:val="24"/>
                <w:szCs w:val="24"/>
              </w:rPr>
            </w:pPr>
            <w:r w:rsidRPr="00B27EA2">
              <w:rPr>
                <w:rFonts w:hint="eastAsia"/>
                <w:sz w:val="24"/>
                <w:szCs w:val="24"/>
              </w:rPr>
              <w:t>次年度以降の事業計画等への反映内容</w:t>
            </w:r>
          </w:p>
        </w:tc>
      </w:tr>
      <w:tr w:rsidR="00517B1B" w:rsidTr="00517B1B">
        <w:trPr>
          <w:trHeight w:val="1444"/>
        </w:trPr>
        <w:tc>
          <w:tcPr>
            <w:tcW w:w="534" w:type="dxa"/>
            <w:vMerge w:val="restart"/>
          </w:tcPr>
          <w:p w:rsidR="00517B1B" w:rsidRDefault="00517B1B" w:rsidP="00B2163D">
            <w:r>
              <w:rPr>
                <w:rFonts w:asciiTheme="minorEastAsia" w:hAnsiTheme="minorEastAsia" w:hint="eastAsia"/>
              </w:rPr>
              <w:t>Ⅰ　提案の履行状況に関する事項</w:t>
            </w:r>
          </w:p>
        </w:tc>
        <w:tc>
          <w:tcPr>
            <w:tcW w:w="2976" w:type="dxa"/>
            <w:vMerge w:val="restart"/>
            <w:vAlign w:val="center"/>
          </w:tcPr>
          <w:p w:rsidR="00517B1B" w:rsidRPr="00A16CAF" w:rsidRDefault="00517B1B" w:rsidP="00E647AC">
            <w:pPr>
              <w:ind w:left="210" w:hangingChars="100" w:hanging="210"/>
              <w:rPr>
                <w:rFonts w:asciiTheme="minorEastAsia" w:hAnsiTheme="minorEastAsia"/>
              </w:rPr>
            </w:pPr>
            <w:r w:rsidRPr="00A16CAF">
              <w:rPr>
                <w:rFonts w:asciiTheme="minorEastAsia" w:hAnsiTheme="minorEastAsia" w:hint="eastAsia"/>
              </w:rPr>
              <w:t>(1)利用者の増加を図るための具体的手法・効果</w:t>
            </w:r>
          </w:p>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① 事業計画で示した国際会議の誘致・開催に係る数値目標を計画どおり達成できているか</w:t>
            </w:r>
          </w:p>
          <w:p w:rsidR="00517B1B" w:rsidRPr="00B2163D" w:rsidRDefault="00517B1B" w:rsidP="00B2163D"/>
        </w:tc>
        <w:tc>
          <w:tcPr>
            <w:tcW w:w="4639" w:type="dxa"/>
          </w:tcPr>
          <w:p w:rsidR="00517B1B" w:rsidRPr="007041D5" w:rsidRDefault="00517B1B" w:rsidP="00B2163D">
            <w:bookmarkStart w:id="0" w:name="_GoBack"/>
            <w:bookmarkEnd w:id="0"/>
          </w:p>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②　国際会議の誘致計画を策定し、戦略的に誘致活動を行っているか</w:t>
            </w:r>
          </w:p>
          <w:p w:rsidR="00517B1B" w:rsidRPr="00B2163D" w:rsidRDefault="00517B1B" w:rsidP="00B2163D"/>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517B1B" w:rsidRPr="00B2163D" w:rsidRDefault="00517B1B" w:rsidP="00B2163D"/>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④　積極的、具体的な誘致活動を行っているか。また、取組みは効果的に機能しているか。検証を加え、取組みを進めているか（データベースの作成、アドバイザーの活用、支援制度等の拡充）</w:t>
            </w:r>
          </w:p>
          <w:p w:rsidR="00517B1B" w:rsidRPr="00B2163D" w:rsidRDefault="00517B1B" w:rsidP="00B2163D"/>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⑤　複合施設（会議室、ホール、展示場など多様な主催者ニーズに対応できる施設）の強みを活かした取組みを行っているか</w:t>
            </w:r>
          </w:p>
          <w:p w:rsidR="00517B1B" w:rsidRPr="00B2163D" w:rsidRDefault="00517B1B" w:rsidP="00B2163D"/>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⑥　大阪観光局等の関係機関と連携した効果的な誘致活動を行っているか</w:t>
            </w:r>
          </w:p>
          <w:p w:rsidR="00517B1B" w:rsidRPr="00B2163D"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(2)サービスの向上を図るための具体的手法・効果</w:t>
            </w:r>
          </w:p>
        </w:tc>
        <w:tc>
          <w:tcPr>
            <w:tcW w:w="4394" w:type="dxa"/>
          </w:tcPr>
          <w:p w:rsidR="00517B1B" w:rsidRDefault="00517B1B" w:rsidP="00B2163D">
            <w:pPr>
              <w:ind w:left="34" w:hangingChars="16" w:hanging="34"/>
              <w:rPr>
                <w:rFonts w:asciiTheme="minorEastAsia" w:hAnsiTheme="minorEastAsia"/>
              </w:rPr>
            </w:pPr>
            <w:r w:rsidRPr="00A16CAF">
              <w:rPr>
                <w:rFonts w:asciiTheme="minorEastAsia" w:hAnsiTheme="minorEastAsia" w:hint="eastAsia"/>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517B1B" w:rsidRPr="00B2163D"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②　施設・設備利用時のサービスの向上を図るためのサポートを実施し、計画どおり施設利用者の利便性の向上につなげているか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(3)施設の維持管理の内容、適格性及び実現の程度</w:t>
            </w:r>
          </w:p>
        </w:tc>
        <w:tc>
          <w:tcPr>
            <w:tcW w:w="4394" w:type="dxa"/>
          </w:tcPr>
          <w:p w:rsidR="00517B1B" w:rsidRPr="00A16CAF" w:rsidRDefault="00517B1B" w:rsidP="00AD7A60">
            <w:pPr>
              <w:ind w:leftChars="-17" w:left="-2" w:hangingChars="16" w:hanging="34"/>
              <w:rPr>
                <w:rFonts w:asciiTheme="minorEastAsia" w:hAnsiTheme="minorEastAsia"/>
              </w:rPr>
            </w:pPr>
            <w:r w:rsidRPr="00A16CAF">
              <w:rPr>
                <w:rFonts w:asciiTheme="minorEastAsia" w:hAnsiTheme="minorEastAsia" w:hint="eastAsia"/>
              </w:rPr>
              <w:t>①　利用者の快適かつ安全を確保するための、施設・設備等の維持補修・修繕や機能を向上させる設備投資の取組みが計画どおりに行われているか</w:t>
            </w:r>
          </w:p>
          <w:p w:rsidR="00517B1B" w:rsidRPr="00AD7A60"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4A0338">
        <w:trPr>
          <w:trHeight w:val="99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D7A60" w:rsidRDefault="00517B1B" w:rsidP="00AD7A60">
            <w:pPr>
              <w:ind w:left="34" w:hangingChars="16" w:hanging="34"/>
              <w:rPr>
                <w:rFonts w:asciiTheme="minorEastAsia" w:hAnsiTheme="minorEastAsia"/>
              </w:rPr>
            </w:pPr>
            <w:r w:rsidRPr="00A16CAF">
              <w:rPr>
                <w:rFonts w:asciiTheme="minorEastAsia" w:hAnsiTheme="minorEastAsia" w:hint="eastAsia"/>
              </w:rPr>
              <w:t>②　施設・設備の長寿命化を図るための保守点検の手法の工夫等を実施しているか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D7A60" w:rsidRDefault="00517B1B" w:rsidP="00B2163D">
            <w:pPr>
              <w:jc w:val="left"/>
              <w:rPr>
                <w:rFonts w:asciiTheme="minorEastAsia" w:hAnsiTheme="minorEastAsia"/>
              </w:rPr>
            </w:pPr>
            <w:r w:rsidRPr="00A16CAF">
              <w:rPr>
                <w:rFonts w:asciiTheme="minorEastAsia" w:hAnsiTheme="minorEastAsia" w:hint="eastAsia"/>
              </w:rPr>
              <w:t>③　施設・設備の修繕等については、営業担当と施設担当が情報を共有するなど、十分連携をとったうえで、行っているか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E647AC" w:rsidRDefault="00517B1B" w:rsidP="007F0FAD">
            <w:pPr>
              <w:rPr>
                <w:rFonts w:asciiTheme="minorEastAsia" w:hAnsiTheme="minorEastAsia"/>
              </w:rPr>
            </w:pPr>
            <w:r w:rsidRPr="00A16CAF">
              <w:rPr>
                <w:rFonts w:asciiTheme="minorEastAsia" w:hAnsiTheme="minorEastAsia" w:hint="eastAsia"/>
              </w:rPr>
              <w:t>(4)施設の設置目的及び管理</w:t>
            </w:r>
          </w:p>
          <w:p w:rsidR="00517B1B" w:rsidRPr="00E647AC" w:rsidRDefault="00517B1B" w:rsidP="00E647AC">
            <w:pPr>
              <w:ind w:firstLineChars="100" w:firstLine="210"/>
              <w:rPr>
                <w:rFonts w:asciiTheme="minorEastAsia" w:hAnsiTheme="minorEastAsia"/>
              </w:rPr>
            </w:pPr>
            <w:r w:rsidRPr="00A16CAF">
              <w:rPr>
                <w:rFonts w:asciiTheme="minorEastAsia" w:hAnsiTheme="minorEastAsia" w:hint="eastAsia"/>
              </w:rPr>
              <w:t>運営方針</w:t>
            </w:r>
          </w:p>
        </w:tc>
        <w:tc>
          <w:tcPr>
            <w:tcW w:w="4394" w:type="dxa"/>
          </w:tcPr>
          <w:p w:rsidR="00517B1B" w:rsidRPr="00A16CAF" w:rsidRDefault="00517B1B" w:rsidP="00AD7A60">
            <w:pPr>
              <w:ind w:left="34" w:hangingChars="16" w:hanging="34"/>
              <w:rPr>
                <w:rFonts w:asciiTheme="minorEastAsia" w:hAnsiTheme="minorEastAsia"/>
              </w:rPr>
            </w:pPr>
            <w:r w:rsidRPr="00A16CAF">
              <w:rPr>
                <w:rFonts w:asciiTheme="minorEastAsia" w:hAnsiTheme="minorEastAsia" w:hint="eastAsia"/>
              </w:rPr>
              <w:t>①　国際会議等の誘致・開催を通じて、大阪の産業振興や地域活性化等に貢献するという施設の設置目的に沿った運営を行っているか</w:t>
            </w:r>
          </w:p>
          <w:p w:rsidR="00517B1B" w:rsidRPr="00AD7A60"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4A0338">
        <w:trPr>
          <w:trHeight w:val="1076"/>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D7A60" w:rsidRDefault="00AD7A60" w:rsidP="004A0338">
            <w:pPr>
              <w:rPr>
                <w:rFonts w:asciiTheme="minorEastAsia" w:hAnsiTheme="minorEastAsia"/>
              </w:rPr>
            </w:pPr>
            <w:r w:rsidRPr="00AD7A60">
              <w:rPr>
                <w:rFonts w:asciiTheme="minorEastAsia" w:hAnsiTheme="minorEastAsia" w:hint="eastAsia"/>
              </w:rPr>
              <w:t>②</w:t>
            </w:r>
            <w:r w:rsidR="00517B1B" w:rsidRPr="00AD7A60">
              <w:rPr>
                <w:rFonts w:asciiTheme="minorEastAsia" w:hAnsiTheme="minorEastAsia" w:hint="eastAsia"/>
              </w:rPr>
              <w:t xml:space="preserve">　</w:t>
            </w:r>
            <w:r w:rsidRPr="00AD7A60">
              <w:rPr>
                <w:rFonts w:asciiTheme="minorEastAsia" w:hAnsiTheme="minorEastAsia" w:hint="eastAsia"/>
              </w:rPr>
              <w:t>関係法令を遵守し、適正な管理運営を行っているか。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③　府民やNPOに加え、民間企業とも幅広く連携し、地域活性化に貢献しているか。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(5)平等な利用を図るための具体的手法・効果</w:t>
            </w:r>
          </w:p>
        </w:tc>
        <w:tc>
          <w:tcPr>
            <w:tcW w:w="4394" w:type="dxa"/>
          </w:tcPr>
          <w:p w:rsidR="00517B1B" w:rsidRPr="00AD7A60" w:rsidRDefault="00517B1B" w:rsidP="00AD7A60">
            <w:pPr>
              <w:rPr>
                <w:rFonts w:asciiTheme="minorEastAsia" w:hAnsiTheme="minorEastAsia"/>
              </w:rPr>
            </w:pPr>
            <w:r w:rsidRPr="00A16CAF">
              <w:rPr>
                <w:rFonts w:asciiTheme="minorEastAsia" w:hAnsiTheme="minorEastAsia" w:hint="eastAsia"/>
              </w:rPr>
              <w:t>①　予約受付開始時期や利用料金の支払手続等を、冊子やホームページに明記し、広く周知を行うなど、施設利用に関して公平な取扱いを実施しているか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D7A60" w:rsidRDefault="00517B1B" w:rsidP="00B2163D">
            <w:pPr>
              <w:jc w:val="left"/>
              <w:rPr>
                <w:rFonts w:asciiTheme="minorEastAsia" w:hAnsiTheme="minorEastAsia"/>
              </w:rPr>
            </w:pPr>
            <w:r w:rsidRPr="00A16CAF">
              <w:rPr>
                <w:rFonts w:asciiTheme="minorEastAsia" w:hAnsiTheme="minorEastAsia" w:hint="eastAsia"/>
              </w:rPr>
              <w:t>②　高齢者や障がい者等が、安全で快適に施設・設備を利用できるよう、接遇等のソフト面、設備等のハード面の両面から、計画どおりサービス提供に取り組んでいるか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517B1B" w:rsidRDefault="00517B1B" w:rsidP="00B2163D">
            <w:r w:rsidRPr="00A16CAF">
              <w:rPr>
                <w:rFonts w:asciiTheme="minorEastAsia" w:hAnsiTheme="minorEastAsia" w:hint="eastAsia"/>
              </w:rPr>
              <w:t>(6)府施策との整合</w:t>
            </w:r>
          </w:p>
        </w:tc>
        <w:tc>
          <w:tcPr>
            <w:tcW w:w="4394" w:type="dxa"/>
          </w:tcPr>
          <w:p w:rsidR="00517B1B" w:rsidRPr="00A16CAF" w:rsidRDefault="00517B1B" w:rsidP="00AD7A60">
            <w:pPr>
              <w:ind w:firstLineChars="100" w:firstLine="210"/>
              <w:rPr>
                <w:rFonts w:asciiTheme="minorEastAsia" w:hAnsiTheme="minorEastAsia"/>
              </w:rPr>
            </w:pPr>
            <w:r w:rsidRPr="00A16CAF">
              <w:rPr>
                <w:rFonts w:asciiTheme="minorEastAsia" w:hAnsiTheme="minorEastAsia" w:hint="eastAsia"/>
              </w:rPr>
              <w:t>府施策との整合に係る取組みを計画どおり実施しているか</w:t>
            </w:r>
          </w:p>
          <w:p w:rsidR="00517B1B" w:rsidRPr="00A16CAF" w:rsidRDefault="00517B1B" w:rsidP="00AD7A60">
            <w:pPr>
              <w:pStyle w:val="a8"/>
              <w:numPr>
                <w:ilvl w:val="0"/>
                <w:numId w:val="1"/>
              </w:numPr>
              <w:ind w:leftChars="0"/>
              <w:rPr>
                <w:rFonts w:asciiTheme="minorEastAsia" w:hAnsiTheme="minorEastAsia"/>
              </w:rPr>
            </w:pPr>
            <w:r w:rsidRPr="00A16CAF">
              <w:rPr>
                <w:rFonts w:asciiTheme="minorEastAsia" w:hAnsiTheme="minorEastAsia" w:hint="eastAsia"/>
              </w:rPr>
              <w:t>事業及び公益事業等への協力</w:t>
            </w:r>
          </w:p>
          <w:p w:rsidR="00517B1B" w:rsidRPr="00AD7A60"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AD7A60">
            <w:pPr>
              <w:ind w:firstLineChars="100" w:firstLine="210"/>
              <w:rPr>
                <w:rFonts w:asciiTheme="minorEastAsia" w:hAnsiTheme="minorEastAsia"/>
              </w:rPr>
            </w:pPr>
            <w:r w:rsidRPr="00A16CAF">
              <w:rPr>
                <w:rFonts w:asciiTheme="minorEastAsia" w:hAnsiTheme="minorEastAsia" w:hint="eastAsia"/>
              </w:rPr>
              <w:t>府施策との整合に係る取組みを計画どおり実施しているか</w:t>
            </w:r>
          </w:p>
          <w:p w:rsidR="00517B1B" w:rsidRPr="00AD7A60" w:rsidRDefault="00517B1B" w:rsidP="00AD7A60">
            <w:pPr>
              <w:rPr>
                <w:rFonts w:asciiTheme="minorEastAsia" w:hAnsiTheme="minorEastAsia"/>
              </w:rPr>
            </w:pPr>
            <w:r w:rsidRPr="00AD7A60">
              <w:rPr>
                <w:rFonts w:asciiTheme="minorEastAsia" w:hAnsiTheme="minorEastAsia" w:hint="eastAsia"/>
              </w:rPr>
              <w:t>②　管理運営業務の福祉化</w:t>
            </w:r>
          </w:p>
          <w:p w:rsidR="00517B1B" w:rsidRPr="00AD7A60" w:rsidRDefault="00517B1B" w:rsidP="00AD7A60">
            <w:pPr>
              <w:rPr>
                <w:rFonts w:asciiTheme="minorEastAsia" w:hAnsiTheme="minorEastAsia"/>
              </w:rPr>
            </w:pPr>
            <w:r w:rsidRPr="00AD7A60">
              <w:rPr>
                <w:rFonts w:asciiTheme="minorEastAsia" w:hAnsiTheme="minorEastAsia" w:hint="eastAsia"/>
              </w:rPr>
              <w:t xml:space="preserve">　・就職困難者層の雇用</w:t>
            </w:r>
          </w:p>
          <w:p w:rsidR="00517B1B" w:rsidRPr="00AD7A60" w:rsidRDefault="00517B1B" w:rsidP="00AD7A60">
            <w:pPr>
              <w:rPr>
                <w:rFonts w:asciiTheme="minorEastAsia" w:hAnsiTheme="minorEastAsia"/>
              </w:rPr>
            </w:pPr>
            <w:r w:rsidRPr="00AD7A60">
              <w:rPr>
                <w:rFonts w:asciiTheme="minorEastAsia" w:hAnsiTheme="minorEastAsia" w:hint="eastAsia"/>
              </w:rPr>
              <w:t xml:space="preserve">　・知的障がい者の清掃業務従事への取り組み</w:t>
            </w:r>
          </w:p>
          <w:p w:rsidR="00517B1B" w:rsidRPr="00AD7A60"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val="restart"/>
          </w:tcPr>
          <w:p w:rsidR="00517B1B" w:rsidRDefault="00517B1B" w:rsidP="00B2163D">
            <w:r w:rsidRPr="00A16CAF">
              <w:rPr>
                <w:rFonts w:asciiTheme="minorEastAsia" w:hAnsiTheme="minorEastAsia" w:hint="eastAsia"/>
              </w:rPr>
              <w:t>Ⅱさらなるサービスの向上に関する事項</w:t>
            </w:r>
          </w:p>
        </w:tc>
        <w:tc>
          <w:tcPr>
            <w:tcW w:w="2976" w:type="dxa"/>
          </w:tcPr>
          <w:p w:rsidR="00517B1B" w:rsidRDefault="00517B1B" w:rsidP="00B2163D">
            <w:r w:rsidRPr="00A16CAF">
              <w:rPr>
                <w:rFonts w:asciiTheme="minorEastAsia" w:hAnsiTheme="minorEastAsia" w:hint="eastAsia"/>
              </w:rPr>
              <w:t>(1)利用者満足度調査等</w:t>
            </w:r>
          </w:p>
        </w:tc>
        <w:tc>
          <w:tcPr>
            <w:tcW w:w="4394" w:type="dxa"/>
          </w:tcPr>
          <w:p w:rsidR="00517B1B" w:rsidRDefault="00517B1B" w:rsidP="00B2163D">
            <w:pPr>
              <w:jc w:val="left"/>
              <w:rPr>
                <w:rFonts w:asciiTheme="minorEastAsia" w:hAnsiTheme="minorEastAsia"/>
              </w:rPr>
            </w:pPr>
            <w:r w:rsidRPr="00A16CAF">
              <w:rPr>
                <w:rFonts w:asciiTheme="minorEastAsia" w:hAnsiTheme="minorEastAsia" w:hint="eastAsia"/>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4A0338" w:rsidRPr="00A16CAF" w:rsidRDefault="004A0338"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tcPr>
          <w:p w:rsidR="00517B1B" w:rsidRDefault="00517B1B" w:rsidP="00B2163D">
            <w:r w:rsidRPr="00A16CAF">
              <w:rPr>
                <w:rFonts w:asciiTheme="minorEastAsia" w:hAnsiTheme="minorEastAsia" w:hint="eastAsia"/>
              </w:rPr>
              <w:t>(2)その他創意工夫</w:t>
            </w:r>
          </w:p>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その他創意工夫しながらサービスの向上に具体的に取組んでいるか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val="restart"/>
          </w:tcPr>
          <w:p w:rsidR="00517B1B" w:rsidRDefault="00517B1B" w:rsidP="00B2163D">
            <w:r w:rsidRPr="00A16CAF">
              <w:rPr>
                <w:rFonts w:asciiTheme="minorEastAsia" w:hAnsiTheme="minorEastAsia" w:hint="eastAsia"/>
              </w:rPr>
              <w:lastRenderedPageBreak/>
              <w:t>Ⅲ</w:t>
            </w:r>
            <w:r>
              <w:rPr>
                <w:rFonts w:asciiTheme="minorEastAsia" w:hAnsiTheme="minorEastAsia" w:hint="eastAsia"/>
              </w:rPr>
              <w:t>適正な管理業務の遂行を図ることができる能力及び財政基盤に関する事項</w:t>
            </w:r>
          </w:p>
        </w:tc>
        <w:tc>
          <w:tcPr>
            <w:tcW w:w="2976" w:type="dxa"/>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tc>
        <w:tc>
          <w:tcPr>
            <w:tcW w:w="4394"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事業収支は収支計画に比して妥当か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tc>
        <w:tc>
          <w:tcPr>
            <w:tcW w:w="4394" w:type="dxa"/>
          </w:tcPr>
          <w:p w:rsidR="00517B1B" w:rsidRPr="00A16CAF" w:rsidRDefault="00517B1B" w:rsidP="00AD7A60">
            <w:pPr>
              <w:rPr>
                <w:rFonts w:asciiTheme="minorEastAsia" w:hAnsiTheme="minorEastAsia"/>
              </w:rPr>
            </w:pPr>
            <w:r w:rsidRPr="00A16CAF">
              <w:rPr>
                <w:rFonts w:asciiTheme="minorEastAsia" w:hAnsiTheme="minorEastAsia" w:hint="eastAsia"/>
              </w:rPr>
              <w:t>①　事業計画を確実に実施していくために、効果的かつ効率的な人員体制・配置になっているか</w:t>
            </w:r>
          </w:p>
          <w:p w:rsidR="00517B1B" w:rsidRPr="00AD7A60" w:rsidRDefault="00517B1B" w:rsidP="00B2163D">
            <w:pPr>
              <w:jc w:val="left"/>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D7A60" w:rsidRDefault="00517B1B" w:rsidP="00AD7A60">
            <w:pPr>
              <w:rPr>
                <w:rFonts w:asciiTheme="minorEastAsia" w:hAnsiTheme="minorEastAsia"/>
              </w:rPr>
            </w:pPr>
            <w:r w:rsidRPr="00AD7A60">
              <w:rPr>
                <w:rFonts w:asciiTheme="minorEastAsia" w:hAnsiTheme="minorEastAsia" w:hint="eastAsia"/>
              </w:rPr>
              <w:t>②　管理運営業務が適正に遂行されるための管理監督体制・責任体制がとれているか</w:t>
            </w:r>
          </w:p>
          <w:p w:rsidR="00517B1B" w:rsidRPr="00AD7A60" w:rsidRDefault="00517B1B" w:rsidP="00AD7A60">
            <w:pPr>
              <w:rPr>
                <w:rFonts w:asciiTheme="minorEastAsia" w:hAnsiTheme="minorEastAsia"/>
              </w:rPr>
            </w:pP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AD7A60">
            <w:pPr>
              <w:rPr>
                <w:rFonts w:asciiTheme="minorEastAsia" w:hAnsiTheme="minorEastAsia"/>
              </w:rPr>
            </w:pPr>
            <w:r w:rsidRPr="00A16CAF">
              <w:rPr>
                <w:rFonts w:asciiTheme="minorEastAsia" w:hAnsiTheme="minorEastAsia" w:hint="eastAsia"/>
              </w:rPr>
              <w:t>③　職員の指導育成、研修体制は管理体制計画書どおり実施しているか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vMerge/>
          </w:tcPr>
          <w:p w:rsidR="00517B1B" w:rsidRDefault="00517B1B" w:rsidP="00B2163D"/>
        </w:tc>
        <w:tc>
          <w:tcPr>
            <w:tcW w:w="4394" w:type="dxa"/>
          </w:tcPr>
          <w:p w:rsidR="00517B1B" w:rsidRPr="00A16CAF" w:rsidRDefault="00517B1B" w:rsidP="00AD7A60">
            <w:pPr>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w:t>
            </w:r>
            <w:r w:rsidRPr="00E55D3F">
              <w:rPr>
                <w:rFonts w:asciiTheme="minorEastAsia" w:hAnsiTheme="minorEastAsia" w:hint="eastAsia"/>
              </w:rPr>
              <w:t>安心して働き続けられる労働環境を整備しているか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r w:rsidR="00517B1B" w:rsidTr="00517B1B">
        <w:trPr>
          <w:trHeight w:val="1444"/>
        </w:trPr>
        <w:tc>
          <w:tcPr>
            <w:tcW w:w="534" w:type="dxa"/>
            <w:vMerge/>
          </w:tcPr>
          <w:p w:rsidR="00517B1B" w:rsidRDefault="00517B1B" w:rsidP="00B2163D"/>
        </w:tc>
        <w:tc>
          <w:tcPr>
            <w:tcW w:w="2976" w:type="dxa"/>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4394" w:type="dxa"/>
          </w:tcPr>
          <w:p w:rsidR="00517B1B" w:rsidRPr="00A16CAF" w:rsidRDefault="00517B1B" w:rsidP="00AD7A60">
            <w:pPr>
              <w:rPr>
                <w:rFonts w:asciiTheme="minorEastAsia" w:hAnsiTheme="minorEastAsia"/>
              </w:rPr>
            </w:pPr>
            <w:r w:rsidRPr="00A16CAF">
              <w:rPr>
                <w:rFonts w:asciiTheme="minorEastAsia" w:hAnsiTheme="minorEastAsia" w:hint="eastAsia"/>
              </w:rPr>
              <w:t>収支が計画どおりに推移し、財務状況が安定しているか</w:t>
            </w:r>
          </w:p>
        </w:tc>
        <w:tc>
          <w:tcPr>
            <w:tcW w:w="4639" w:type="dxa"/>
          </w:tcPr>
          <w:p w:rsidR="00517B1B" w:rsidRDefault="00517B1B" w:rsidP="00B2163D"/>
        </w:tc>
        <w:tc>
          <w:tcPr>
            <w:tcW w:w="4609" w:type="dxa"/>
          </w:tcPr>
          <w:p w:rsidR="00517B1B" w:rsidRDefault="00517B1B" w:rsidP="00B2163D"/>
        </w:tc>
        <w:tc>
          <w:tcPr>
            <w:tcW w:w="4610" w:type="dxa"/>
          </w:tcPr>
          <w:p w:rsidR="00517B1B" w:rsidRDefault="00517B1B" w:rsidP="00B2163D"/>
        </w:tc>
      </w:tr>
    </w:tbl>
    <w:p w:rsidR="00BF296C" w:rsidRDefault="00BF296C"/>
    <w:p w:rsidR="00E5514B" w:rsidRDefault="00E5514B">
      <w:pPr>
        <w:widowControl/>
        <w:jc w:val="left"/>
      </w:pPr>
    </w:p>
    <w:sectPr w:rsidR="00E5514B" w:rsidSect="00E5514B">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4D" w:rsidRDefault="003C544D" w:rsidP="00B27EA2">
      <w:r>
        <w:separator/>
      </w:r>
    </w:p>
  </w:endnote>
  <w:endnote w:type="continuationSeparator" w:id="0">
    <w:p w:rsidR="003C544D" w:rsidRDefault="003C544D"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4D" w:rsidRDefault="003C544D" w:rsidP="00B27EA2">
      <w:r>
        <w:separator/>
      </w:r>
    </w:p>
  </w:footnote>
  <w:footnote w:type="continuationSeparator" w:id="0">
    <w:p w:rsidR="003C544D" w:rsidRDefault="003C544D"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967F9"/>
    <w:rsid w:val="00192E95"/>
    <w:rsid w:val="002A391B"/>
    <w:rsid w:val="003C3619"/>
    <w:rsid w:val="003C458C"/>
    <w:rsid w:val="003C544D"/>
    <w:rsid w:val="004A0338"/>
    <w:rsid w:val="00517B1B"/>
    <w:rsid w:val="0053014E"/>
    <w:rsid w:val="005C0918"/>
    <w:rsid w:val="006222DF"/>
    <w:rsid w:val="00625339"/>
    <w:rsid w:val="00680697"/>
    <w:rsid w:val="006C4BFB"/>
    <w:rsid w:val="007041D5"/>
    <w:rsid w:val="00772DA8"/>
    <w:rsid w:val="00777DCE"/>
    <w:rsid w:val="007E793C"/>
    <w:rsid w:val="007F0FAD"/>
    <w:rsid w:val="00845E57"/>
    <w:rsid w:val="0089728F"/>
    <w:rsid w:val="008D79F9"/>
    <w:rsid w:val="00971652"/>
    <w:rsid w:val="00AD5F41"/>
    <w:rsid w:val="00AD7A60"/>
    <w:rsid w:val="00AE5939"/>
    <w:rsid w:val="00B00496"/>
    <w:rsid w:val="00B2163D"/>
    <w:rsid w:val="00B27EA2"/>
    <w:rsid w:val="00B540A1"/>
    <w:rsid w:val="00BF296C"/>
    <w:rsid w:val="00C31DE7"/>
    <w:rsid w:val="00C3289F"/>
    <w:rsid w:val="00C60BD0"/>
    <w:rsid w:val="00D35C10"/>
    <w:rsid w:val="00D53CE6"/>
    <w:rsid w:val="00DD21C8"/>
    <w:rsid w:val="00E5514B"/>
    <w:rsid w:val="00E647AC"/>
    <w:rsid w:val="00EC6BF6"/>
    <w:rsid w:val="00ED2888"/>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57D114"/>
  <w15:docId w15:val="{AF7F8CAC-1CD4-4BFF-A261-E241191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石田　純子</cp:lastModifiedBy>
  <cp:revision>27</cp:revision>
  <cp:lastPrinted>2018-01-29T08:06:00Z</cp:lastPrinted>
  <dcterms:created xsi:type="dcterms:W3CDTF">2013-06-28T03:00:00Z</dcterms:created>
  <dcterms:modified xsi:type="dcterms:W3CDTF">2019-01-29T12:40:00Z</dcterms:modified>
</cp:coreProperties>
</file>