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大阪府工業指数　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7F77CA">
        <w:rPr>
          <w:rFonts w:ascii="HGｺﾞｼｯｸM" w:eastAsia="HGｺﾞｼｯｸM" w:hint="eastAsia"/>
          <w:sz w:val="24"/>
        </w:rPr>
        <w:t>２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109.0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10.5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32.2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53.1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102.1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5.5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 xml:space="preserve"> 26.3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13.3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8208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 xml:space="preserve"> 100.0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1.4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F77CA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5.4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（旧）電気機械工業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7F77CA">
        <w:rPr>
          <w:rFonts w:ascii="HGｺﾞｼｯｸM" w:eastAsia="HGｺﾞｼｯｸM" w:hint="eastAsia"/>
          <w:sz w:val="22"/>
          <w:szCs w:val="22"/>
        </w:rPr>
        <w:t>5.1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145C01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7F77CA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091619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7F77CA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299200" cy="331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0055F9" w:rsidRPr="004766BD" w:rsidRDefault="00091619" w:rsidP="005A2616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D3138B9" wp14:editId="1459F22B">
            <wp:simplePos x="0" y="0"/>
            <wp:positionH relativeFrom="column">
              <wp:posOffset>618490</wp:posOffset>
            </wp:positionH>
            <wp:positionV relativeFrom="paragraph">
              <wp:posOffset>7546975</wp:posOffset>
            </wp:positionV>
            <wp:extent cx="5029200" cy="21431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CA">
        <w:rPr>
          <w:rFonts w:ascii="HGｺﾞｼｯｸM" w:eastAsia="HGｺﾞｼｯｸM"/>
          <w:noProof/>
          <w:sz w:val="24"/>
        </w:rPr>
        <w:drawing>
          <wp:inline distT="0" distB="0" distL="0" distR="0" wp14:anchorId="0CF4818D" wp14:editId="1B1AC81B">
            <wp:extent cx="6263640" cy="344384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/>
          <w:noProof/>
          <w:sz w:val="24"/>
        </w:rPr>
        <w:drawing>
          <wp:inline distT="0" distB="0" distL="0" distR="0" wp14:anchorId="6D7B6B07" wp14:editId="32C5E6BA">
            <wp:extent cx="6221201" cy="396000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01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F9" w:rsidRPr="004766BD" w:rsidSect="00E81F3B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B4FA5">
      <w:rPr>
        <w:rStyle w:val="a8"/>
        <w:rFonts w:ascii="ＭＳ Ｐ明朝" w:eastAsia="ＭＳ Ｐ明朝" w:hAnsi="ＭＳ Ｐ明朝"/>
        <w:noProof/>
      </w:rPr>
      <w:t>- 19 -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78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27597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4FA5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1F3B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662D-69B9-47FC-969D-96E53010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2018-05-11T08:19:00Z</dcterms:modified>
</cp:coreProperties>
</file>