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DC035E" w:rsidRDefault="00AF70DB" w:rsidP="007F2EE2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 xml:space="preserve">毎月勤労統計調査地方調査　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平成29年</w:t>
      </w:r>
      <w:r w:rsidR="00DC035E" w:rsidRPr="00E75700">
        <w:rPr>
          <w:rFonts w:ascii="HGｺﾞｼｯｸM" w:eastAsia="HGｺﾞｼｯｸM" w:hAnsi="ＭＳ Ｐゴシック" w:hint="eastAsia"/>
          <w:kern w:val="0"/>
          <w:sz w:val="24"/>
        </w:rPr>
        <w:t>平均結果（速報）及び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１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</w:p>
    <w:p w:rsidR="00AF70DB" w:rsidRDefault="00AF70DB" w:rsidP="00DC035E">
      <w:pPr>
        <w:ind w:firstLineChars="2400" w:firstLine="5328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7B35CC" w:rsidRDefault="008A6A9A" w:rsidP="00DC035E">
      <w:pPr>
        <w:ind w:left="4732" w:hangingChars="2600" w:hanging="4732"/>
        <w:rPr>
          <w:rStyle w:val="a7"/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7B35CC" w:rsidRPr="00736A33">
          <w:rPr>
            <w:rStyle w:val="a7"/>
            <w:rFonts w:ascii="HGｺﾞｼｯｸM" w:eastAsia="HGｺﾞｼｯｸM" w:hAnsi="ＭＳ Ｐゴシック"/>
            <w:sz w:val="16"/>
            <w:szCs w:val="18"/>
            <w:u w:val="none"/>
          </w:rPr>
          <w:t>http://www.pref.osaka.</w:t>
        </w:r>
        <w:r w:rsidR="007B35CC" w:rsidRPr="00736A33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lg.</w:t>
        </w:r>
        <w:r w:rsidR="007B35CC" w:rsidRPr="00736A33">
          <w:rPr>
            <w:rStyle w:val="a7"/>
            <w:rFonts w:ascii="HGｺﾞｼｯｸM" w:eastAsia="HGｺﾞｼｯｸM" w:hAnsi="ＭＳ Ｐゴシック"/>
            <w:sz w:val="16"/>
            <w:szCs w:val="18"/>
            <w:u w:val="none"/>
          </w:rPr>
          <w:t>jp/toukei/maikin_n/index.html</w:t>
        </w:r>
      </w:hyperlink>
      <w:r w:rsidR="007B35CC">
        <w:rPr>
          <w:rFonts w:ascii="HGｺﾞｼｯｸM" w:eastAsia="HGｺﾞｼｯｸM" w:hAnsi="ＭＳ Ｐゴシック" w:hint="eastAsia"/>
          <w:sz w:val="18"/>
          <w:szCs w:val="18"/>
        </w:rPr>
        <w:t>（年報）</w:t>
      </w:r>
    </w:p>
    <w:p w:rsidR="00FA6DC0" w:rsidRDefault="00737E0E" w:rsidP="007B35CC">
      <w:pPr>
        <w:ind w:left="5512" w:right="212" w:hangingChars="2600" w:hanging="5512"/>
        <w:jc w:val="right"/>
        <w:rPr>
          <w:rFonts w:ascii="HGｺﾞｼｯｸM" w:eastAsia="HGｺﾞｼｯｸM" w:hAnsi="ＭＳ Ｐゴシック"/>
          <w:sz w:val="18"/>
          <w:szCs w:val="18"/>
        </w:rPr>
      </w:pPr>
      <w:hyperlink r:id="rId10" w:history="1">
        <w:r w:rsidR="009A6B82" w:rsidRPr="00736A33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 w:rsidRPr="00736A33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Default="00510F67" w:rsidP="00510F67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（１</w:t>
      </w:r>
      <w:r>
        <w:rPr>
          <w:rFonts w:ascii="HGPｺﾞｼｯｸM" w:eastAsia="HGPｺﾞｼｯｸM" w:hAnsi="ＭＳ 明朝"/>
          <w:sz w:val="22"/>
          <w:szCs w:val="22"/>
        </w:rPr>
        <w:t>）</w:t>
      </w: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bookmarkStart w:id="0" w:name="_GoBack"/>
      <w:bookmarkEnd w:id="0"/>
    </w:p>
    <w:p w:rsidR="00510F67" w:rsidRPr="00911861" w:rsidRDefault="00911861" w:rsidP="00510F67">
      <w:pPr>
        <w:tabs>
          <w:tab w:val="left" w:pos="9030"/>
        </w:tabs>
        <w:ind w:firstLineChars="383" w:firstLine="850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29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年平均は　</w:t>
      </w:r>
      <w:r w:rsid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99.6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前年比　</w:t>
      </w:r>
      <w:r w:rsid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30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年１月は　</w:t>
      </w:r>
      <w:r w:rsid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99.2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1.8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911861" w:rsidRDefault="00510F67" w:rsidP="00510F67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（２）きまって支給する給与（名目賃金指数）［製造業］</w:t>
      </w:r>
    </w:p>
    <w:p w:rsidR="00510F67" w:rsidRPr="00911861" w:rsidRDefault="00510F67" w:rsidP="00510F67">
      <w:pPr>
        <w:tabs>
          <w:tab w:val="left" w:pos="851"/>
          <w:tab w:val="left" w:pos="9030"/>
        </w:tabs>
        <w:ind w:leftChars="266" w:left="564" w:firstLineChars="1" w:firstLine="2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　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29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年平均は　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99.0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前年比　0.1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30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年１月は　97.4　前年同月比　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142E99" w:rsidP="00A44CF7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743483" cy="2556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483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510F67">
      <w:pPr>
        <w:autoSpaceDE w:val="0"/>
        <w:autoSpaceDN w:val="0"/>
        <w:ind w:leftChars="249" w:left="528" w:firstLineChars="16" w:firstLine="39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510F67">
      <w:pPr>
        <w:autoSpaceDE w:val="0"/>
        <w:autoSpaceDN w:val="0"/>
        <w:ind w:leftChars="249" w:left="528" w:firstLineChars="116" w:firstLine="258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（１）総実労働時間指数［産業計］</w:t>
      </w:r>
    </w:p>
    <w:p w:rsidR="00510F67" w:rsidRPr="0053187A" w:rsidRDefault="00911861" w:rsidP="00510F67">
      <w:pPr>
        <w:autoSpaceDE w:val="0"/>
        <w:autoSpaceDN w:val="0"/>
        <w:ind w:leftChars="250" w:left="530" w:firstLineChars="200" w:firstLine="444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29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年平均は　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99.2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前年比　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0.6％の減少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30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年１月は　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92.0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0.9％の増加。</w:t>
      </w:r>
    </w:p>
    <w:p w:rsidR="00510F67" w:rsidRPr="0053187A" w:rsidRDefault="00510F67" w:rsidP="00510F67">
      <w:pPr>
        <w:autoSpaceDE w:val="0"/>
        <w:autoSpaceDN w:val="0"/>
        <w:ind w:firstLineChars="355" w:firstLine="788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（２）所定外労働時間指数［産業計］</w:t>
      </w:r>
    </w:p>
    <w:p w:rsidR="00510F67" w:rsidRPr="0053187A" w:rsidRDefault="00911861" w:rsidP="00510F67">
      <w:pPr>
        <w:autoSpaceDE w:val="0"/>
        <w:autoSpaceDN w:val="0"/>
        <w:ind w:leftChars="250" w:left="530" w:firstLineChars="200" w:firstLine="444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29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年平均は　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102.9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前年比　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1.9％の増加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30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年１月は　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96.2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2.8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510F67" w:rsidRPr="0053187A" w:rsidRDefault="00510F67" w:rsidP="00510F67">
      <w:pPr>
        <w:autoSpaceDE w:val="0"/>
        <w:autoSpaceDN w:val="0"/>
        <w:ind w:leftChars="250" w:left="530" w:firstLineChars="116" w:firstLine="258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（３）所定外労働時間指数［製造業］</w:t>
      </w:r>
    </w:p>
    <w:p w:rsidR="004364BA" w:rsidRPr="0053187A" w:rsidRDefault="00510F67" w:rsidP="00911861">
      <w:pPr>
        <w:tabs>
          <w:tab w:val="left" w:pos="851"/>
          <w:tab w:val="left" w:pos="9030"/>
        </w:tabs>
        <w:ind w:firstLineChars="100" w:firstLine="242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ｺﾞｼｯｸM" w:eastAsia="HGｺﾞｼｯｸM" w:hint="eastAsia"/>
          <w:color w:val="000000" w:themeColor="text1"/>
          <w:sz w:val="24"/>
        </w:rPr>
        <w:t xml:space="preserve"> 　　 </w:t>
      </w:r>
      <w:r w:rsidR="00911861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29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年平均は　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105.5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前年比　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2.4％の増加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30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年１月は　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87.2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10.1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53187A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142E99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522403" cy="2556000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03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Default="00510F67" w:rsidP="00510F67">
      <w:pPr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（１）常用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</w:p>
    <w:p w:rsidR="00510F67" w:rsidRPr="00142E99" w:rsidRDefault="00D0441C" w:rsidP="00510F67">
      <w:pPr>
        <w:ind w:firstLineChars="383" w:firstLine="850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29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年平均は　</w:t>
      </w:r>
      <w:r w:rsidR="005318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104.3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前年比　2.1％の増加。</w:t>
      </w:r>
      <w:r w:rsidR="005318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30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年１月は　</w:t>
      </w:r>
      <w:r w:rsidR="005318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104.8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5318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1.6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510F67">
      <w:pPr>
        <w:tabs>
          <w:tab w:val="left" w:pos="567"/>
        </w:tabs>
        <w:ind w:firstLineChars="255" w:firstLine="5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（２）常用雇用指数［製造業］</w:t>
      </w:r>
    </w:p>
    <w:p w:rsidR="00510F67" w:rsidRPr="00142E99" w:rsidRDefault="00D0441C" w:rsidP="00510F67">
      <w:pPr>
        <w:ind w:firstLineChars="383" w:firstLine="850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29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年平均は　</w:t>
      </w:r>
      <w:r w:rsidR="005318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100.7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前年比　</w:t>
      </w:r>
      <w:r w:rsidR="005318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0.6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  <w:r w:rsidR="005318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30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年１月は　</w:t>
      </w:r>
      <w:r w:rsidR="005318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101.6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510F67"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5318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3.1</w:t>
      </w:r>
      <w:r w:rsidR="00510F67"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B77E2A" w:rsidP="00510F67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578842" cy="2268000"/>
            <wp:effectExtent l="0" t="0" r="317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42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142E99" w:rsidRDefault="00510F67" w:rsidP="00510F67">
      <w:pPr>
        <w:ind w:firstLineChars="255" w:firstLine="566"/>
        <w:rPr>
          <w:rFonts w:ascii="HGｺﾞｼｯｸM" w:eastAsia="HGｺﾞｼｯｸM"/>
          <w:color w:val="000000" w:themeColor="text1"/>
          <w:sz w:val="24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（１）一般労働者</w:t>
      </w:r>
    </w:p>
    <w:p w:rsidR="00510F67" w:rsidRPr="00142E99" w:rsidRDefault="0053187A" w:rsidP="00510F67">
      <w:pPr>
        <w:ind w:firstLineChars="383" w:firstLine="850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29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年平均は入職率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1.40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1.32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0.08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ポイントの入職超過。</w:t>
      </w:r>
    </w:p>
    <w:p w:rsidR="00510F67" w:rsidRPr="00142E99" w:rsidRDefault="0053187A" w:rsidP="00510F67">
      <w:pPr>
        <w:ind w:firstLineChars="383" w:firstLine="850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30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年１月は入職率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1.02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1.18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0.16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ポイントの離職超過。</w:t>
      </w:r>
    </w:p>
    <w:p w:rsidR="00510F67" w:rsidRPr="00142E99" w:rsidRDefault="00510F67" w:rsidP="00510F67">
      <w:pPr>
        <w:ind w:firstLineChars="255" w:firstLine="5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（２）パートタイム労働者</w:t>
      </w:r>
    </w:p>
    <w:p w:rsidR="00510F67" w:rsidRPr="00142E99" w:rsidRDefault="0053187A" w:rsidP="00510F67">
      <w:pPr>
        <w:ind w:firstLineChars="383" w:firstLine="850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29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年平均は入職率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3.59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3.36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0.23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ポイントの入職超過。</w:t>
      </w:r>
    </w:p>
    <w:p w:rsidR="00510F67" w:rsidRPr="00142E99" w:rsidRDefault="0053187A" w:rsidP="00510F67">
      <w:pPr>
        <w:ind w:firstLineChars="383" w:firstLine="850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30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年１月は入職率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2.49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3.01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0.52</w:t>
      </w:r>
      <w:r w:rsidR="00510F67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ポイントの離職超過。</w:t>
      </w:r>
    </w:p>
    <w:p w:rsidR="00C40145" w:rsidRDefault="00D0441C" w:rsidP="00510F67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911871" cy="2304000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71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0B2C7B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261760" cy="2088000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76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C35F56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7E0E">
      <w:rPr>
        <w:rStyle w:val="a6"/>
        <w:noProof/>
      </w:rPr>
      <w:t>- 8 -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348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0119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6A33"/>
    <w:rsid w:val="007372C6"/>
    <w:rsid w:val="007375CD"/>
    <w:rsid w:val="0073774D"/>
    <w:rsid w:val="00737E0E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35CC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5F56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pref.osaka.lg.jp/toukei/maikin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_n/index.htm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1350-59D1-4141-B31D-72AF3530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2018-04-13T04:13:00Z</dcterms:modified>
</cp:coreProperties>
</file>