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12" w:rsidRPr="007C3F2F" w:rsidRDefault="002D1DFD" w:rsidP="001D3E12">
      <w:pPr>
        <w:jc w:val="center"/>
        <w:rPr>
          <w:rFonts w:asciiTheme="majorEastAsia" w:eastAsiaTheme="majorEastAsia" w:hAnsiTheme="majorEastAsia"/>
          <w:b/>
          <w:sz w:val="24"/>
          <w:szCs w:val="24"/>
        </w:rPr>
      </w:pPr>
      <w:r w:rsidRPr="007C3F2F">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130FDE4E" wp14:editId="62D019D8">
                <wp:simplePos x="0" y="0"/>
                <wp:positionH relativeFrom="column">
                  <wp:posOffset>4942205</wp:posOffset>
                </wp:positionH>
                <wp:positionV relativeFrom="paragraph">
                  <wp:posOffset>-389255</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DC6D54" w:rsidRDefault="00DC6D54"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r w:rsidR="0021340E">
                              <w:rPr>
                                <w:rFonts w:ascii="HGSｺﾞｼｯｸM" w:eastAsia="HGSｺﾞｼｯｸM" w:hAnsi="HGSｺﾞｼｯｸE"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9.15pt;margin-top:-30.65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">
                <v:textbox style="mso-fit-shape-to-text:t">
                  <w:txbxContent>
                    <w:p w:rsidR="00DC6D54" w:rsidRDefault="00DC6D54"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r w:rsidR="0021340E">
                        <w:rPr>
                          <w:rFonts w:ascii="HGSｺﾞｼｯｸM" w:eastAsia="HGSｺﾞｼｯｸM" w:hAnsi="HGSｺﾞｼｯｸE" w:hint="eastAsia"/>
                          <w:sz w:val="24"/>
                          <w:szCs w:val="24"/>
                        </w:rPr>
                        <w:t>２</w:t>
                      </w:r>
                    </w:p>
                  </w:txbxContent>
                </v:textbox>
              </v:shape>
            </w:pict>
          </mc:Fallback>
        </mc:AlternateContent>
      </w:r>
      <w:r w:rsidR="00DF326E">
        <w:rPr>
          <w:rFonts w:asciiTheme="majorEastAsia" w:eastAsiaTheme="majorEastAsia" w:hAnsiTheme="majorEastAsia" w:hint="eastAsia"/>
          <w:b/>
          <w:sz w:val="24"/>
          <w:szCs w:val="24"/>
        </w:rPr>
        <w:t>実効性の確保のための措置（勧告、公表、罰則）の必要性について</w:t>
      </w:r>
    </w:p>
    <w:p w:rsidR="001D3E12" w:rsidRDefault="001D3E12">
      <w:pPr>
        <w:rPr>
          <w:rFonts w:asciiTheme="majorEastAsia" w:eastAsiaTheme="majorEastAsia" w:hAnsiTheme="majorEastAsia"/>
        </w:rPr>
      </w:pPr>
    </w:p>
    <w:p w:rsidR="0069280A" w:rsidRPr="00060D6A" w:rsidRDefault="001E4957" w:rsidP="0069280A">
      <w:pPr>
        <w:rPr>
          <w:rFonts w:asciiTheme="majorEastAsia" w:eastAsiaTheme="majorEastAsia" w:hAnsiTheme="majorEastAsia"/>
          <w:sz w:val="24"/>
          <w:szCs w:val="24"/>
        </w:rPr>
      </w:pPr>
      <w:r w:rsidRPr="00060D6A">
        <w:rPr>
          <w:rFonts w:asciiTheme="majorEastAsia" w:eastAsiaTheme="majorEastAsia" w:hAnsiTheme="majorEastAsia" w:hint="eastAsia"/>
          <w:sz w:val="24"/>
          <w:szCs w:val="24"/>
        </w:rPr>
        <w:t xml:space="preserve">１　</w:t>
      </w:r>
      <w:r w:rsidR="0069280A">
        <w:rPr>
          <w:rFonts w:asciiTheme="majorEastAsia" w:eastAsiaTheme="majorEastAsia" w:hAnsiTheme="majorEastAsia" w:hint="eastAsia"/>
          <w:sz w:val="24"/>
          <w:szCs w:val="24"/>
        </w:rPr>
        <w:t>障害者差別解消法における実効性の確保</w:t>
      </w:r>
    </w:p>
    <w:p w:rsidR="0069280A" w:rsidRPr="00E54F1C" w:rsidRDefault="0069280A" w:rsidP="0069280A">
      <w:pPr>
        <w:rPr>
          <w:rFonts w:asciiTheme="majorEastAsia" w:eastAsiaTheme="majorEastAsia" w:hAnsiTheme="majorEastAsia"/>
          <w:szCs w:val="21"/>
        </w:rPr>
      </w:pPr>
      <w:r w:rsidRPr="00E54F1C">
        <w:rPr>
          <w:rFonts w:asciiTheme="majorEastAsia" w:eastAsiaTheme="majorEastAsia" w:hAnsiTheme="majorEastAsia" w:hint="eastAsia"/>
          <w:szCs w:val="21"/>
        </w:rPr>
        <w:t>（１）行政措置による実効性の確保</w:t>
      </w:r>
    </w:p>
    <w:p w:rsidR="0069280A" w:rsidRPr="00E54F1C" w:rsidRDefault="0069280A" w:rsidP="0069280A">
      <w:pPr>
        <w:rPr>
          <w:rFonts w:asciiTheme="majorEastAsia" w:eastAsiaTheme="majorEastAsia" w:hAnsiTheme="majorEastAsia"/>
          <w:szCs w:val="21"/>
        </w:rPr>
      </w:pPr>
      <w:r w:rsidRPr="00E54F1C">
        <w:rPr>
          <w:rFonts w:asciiTheme="majorEastAsia" w:eastAsiaTheme="majorEastAsia" w:hAnsiTheme="majorEastAsia" w:hint="eastAsia"/>
          <w:szCs w:val="21"/>
        </w:rPr>
        <w:t xml:space="preserve">　障害者差別解消法は、行政措置により、事業者の取組みについて、その実効性を確保すること</w:t>
      </w:r>
      <w:r>
        <w:rPr>
          <w:rFonts w:asciiTheme="majorEastAsia" w:eastAsiaTheme="majorEastAsia" w:hAnsiTheme="majorEastAsia" w:hint="eastAsia"/>
          <w:szCs w:val="21"/>
        </w:rPr>
        <w:t>に</w:t>
      </w:r>
      <w:r w:rsidRPr="00E54F1C">
        <w:rPr>
          <w:rFonts w:asciiTheme="majorEastAsia" w:eastAsiaTheme="majorEastAsia" w:hAnsiTheme="majorEastAsia" w:hint="eastAsia"/>
          <w:szCs w:val="21"/>
        </w:rPr>
        <w:t>している。</w:t>
      </w:r>
    </w:p>
    <w:p w:rsidR="0069280A" w:rsidRPr="00E54F1C" w:rsidRDefault="0069280A" w:rsidP="0069280A">
      <w:pPr>
        <w:rPr>
          <w:rFonts w:asciiTheme="majorEastAsia" w:eastAsiaTheme="majorEastAsia" w:hAnsiTheme="majorEastAsia"/>
          <w:szCs w:val="21"/>
        </w:rPr>
      </w:pPr>
      <w:r w:rsidRPr="00E54F1C">
        <w:rPr>
          <w:rFonts w:asciiTheme="majorEastAsia" w:eastAsiaTheme="majorEastAsia" w:hAnsiTheme="majorEastAsia" w:hint="eastAsia"/>
          <w:szCs w:val="21"/>
        </w:rPr>
        <w:t xml:space="preserve">　法第１２条では、</w:t>
      </w:r>
      <w:r>
        <w:rPr>
          <w:rFonts w:asciiTheme="majorEastAsia" w:eastAsiaTheme="majorEastAsia" w:hAnsiTheme="majorEastAsia" w:hint="eastAsia"/>
          <w:szCs w:val="21"/>
        </w:rPr>
        <w:t>行政措置による実効性の確保として、第８条の事業者における障がいを理由とする差別の禁止に関し、</w:t>
      </w:r>
      <w:r w:rsidRPr="00E54F1C">
        <w:rPr>
          <w:rFonts w:asciiTheme="majorEastAsia" w:eastAsiaTheme="majorEastAsia" w:hAnsiTheme="majorEastAsia" w:hint="eastAsia"/>
          <w:szCs w:val="21"/>
        </w:rPr>
        <w:t>主務大臣による事業者に対する「報告聴取」、「助言」、「指導」、「勧告」</w:t>
      </w:r>
      <w:r>
        <w:rPr>
          <w:rFonts w:asciiTheme="majorEastAsia" w:eastAsiaTheme="majorEastAsia" w:hAnsiTheme="majorEastAsia" w:hint="eastAsia"/>
          <w:szCs w:val="21"/>
        </w:rPr>
        <w:t>が</w:t>
      </w:r>
      <w:r w:rsidRPr="00E54F1C">
        <w:rPr>
          <w:rFonts w:asciiTheme="majorEastAsia" w:eastAsiaTheme="majorEastAsia" w:hAnsiTheme="majorEastAsia" w:hint="eastAsia"/>
          <w:szCs w:val="21"/>
        </w:rPr>
        <w:t>規定</w:t>
      </w:r>
      <w:r>
        <w:rPr>
          <w:rFonts w:asciiTheme="majorEastAsia" w:eastAsiaTheme="majorEastAsia" w:hAnsiTheme="majorEastAsia" w:hint="eastAsia"/>
          <w:szCs w:val="21"/>
        </w:rPr>
        <w:t>され</w:t>
      </w:r>
      <w:r w:rsidRPr="00E54F1C">
        <w:rPr>
          <w:rFonts w:asciiTheme="majorEastAsia" w:eastAsiaTheme="majorEastAsia" w:hAnsiTheme="majorEastAsia" w:hint="eastAsia"/>
          <w:szCs w:val="21"/>
        </w:rPr>
        <w:t>ている。</w:t>
      </w:r>
    </w:p>
    <w:p w:rsidR="0069280A" w:rsidRPr="00E54F1C" w:rsidRDefault="0069280A" w:rsidP="0069280A">
      <w:pPr>
        <w:rPr>
          <w:rFonts w:asciiTheme="majorEastAsia" w:eastAsiaTheme="majorEastAsia" w:hAnsiTheme="majorEastAsia"/>
          <w:szCs w:val="21"/>
        </w:rPr>
      </w:pPr>
    </w:p>
    <w:p w:rsidR="0069280A" w:rsidRPr="00E54F1C" w:rsidRDefault="0069280A" w:rsidP="0069280A">
      <w:pPr>
        <w:rPr>
          <w:rFonts w:asciiTheme="majorEastAsia" w:eastAsiaTheme="majorEastAsia" w:hAnsiTheme="majorEastAsia"/>
          <w:szCs w:val="21"/>
        </w:rPr>
      </w:pPr>
      <w:r w:rsidRPr="00E54F1C">
        <w:rPr>
          <w:rFonts w:asciiTheme="majorEastAsia" w:eastAsiaTheme="majorEastAsia" w:hAnsiTheme="majorEastAsia" w:hint="eastAsia"/>
          <w:szCs w:val="21"/>
        </w:rPr>
        <w:t>（２）基本的な考え方</w:t>
      </w:r>
    </w:p>
    <w:p w:rsidR="0069280A" w:rsidRDefault="0069280A" w:rsidP="0069280A">
      <w:pPr>
        <w:rPr>
          <w:rFonts w:asciiTheme="majorEastAsia" w:eastAsiaTheme="majorEastAsia" w:hAnsiTheme="majorEastAsia"/>
          <w:szCs w:val="21"/>
        </w:rPr>
      </w:pPr>
      <w:r w:rsidRPr="00E54F1C">
        <w:rPr>
          <w:rFonts w:asciiTheme="majorEastAsia" w:eastAsiaTheme="majorEastAsia" w:hAnsiTheme="majorEastAsia" w:hint="eastAsia"/>
          <w:szCs w:val="21"/>
        </w:rPr>
        <w:t xml:space="preserve">　行政措置には、他にも、法的強制力を伴う改善命令や社会的制裁としての公表等が存在するが、法ではガイドライン等に即した事業者の自主的な取組みを促すことを基本としており、行政措置は比較的緩やかなもの（非権力的な行政指導）に限定されている。</w:t>
      </w: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事業者が法に違反した取扱いを繰り返し、自主的な改善を期待することが困難である場合など「特に必要があると認められるとき」は、事業者に対する</w:t>
      </w:r>
      <w:r w:rsidRPr="00E54F1C">
        <w:rPr>
          <w:rFonts w:asciiTheme="majorEastAsia" w:eastAsiaTheme="majorEastAsia" w:hAnsiTheme="majorEastAsia" w:hint="eastAsia"/>
          <w:szCs w:val="21"/>
        </w:rPr>
        <w:t>「報告聴取」、「助言」、「指導」、「勧告」</w:t>
      </w:r>
      <w:r>
        <w:rPr>
          <w:rFonts w:asciiTheme="majorEastAsia" w:eastAsiaTheme="majorEastAsia" w:hAnsiTheme="majorEastAsia" w:hint="eastAsia"/>
          <w:szCs w:val="21"/>
        </w:rPr>
        <w:t>をすることができるとされている。</w:t>
      </w: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基本方針において、主務大臣による行政措置に当たっては、事業者の自主的な取組みを尊重する法の趣旨に沿って、まず、</w:t>
      </w:r>
      <w:r w:rsidRPr="00E54F1C">
        <w:rPr>
          <w:rFonts w:asciiTheme="majorEastAsia" w:eastAsiaTheme="majorEastAsia" w:hAnsiTheme="majorEastAsia" w:hint="eastAsia"/>
          <w:szCs w:val="21"/>
        </w:rPr>
        <w:t>「報告聴取」、「助言」、「指導」</w:t>
      </w:r>
      <w:r>
        <w:rPr>
          <w:rFonts w:asciiTheme="majorEastAsia" w:eastAsiaTheme="majorEastAsia" w:hAnsiTheme="majorEastAsia" w:hint="eastAsia"/>
          <w:szCs w:val="21"/>
        </w:rPr>
        <w:t>により改善を促すことを基本とする必要があるとしている。</w:t>
      </w:r>
    </w:p>
    <w:p w:rsidR="0069280A" w:rsidRP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しかしながら、</w:t>
      </w:r>
      <w:r w:rsidR="00093FE5">
        <w:rPr>
          <w:rFonts w:asciiTheme="majorEastAsia" w:eastAsiaTheme="majorEastAsia" w:hAnsiTheme="majorEastAsia" w:hint="eastAsia"/>
          <w:szCs w:val="21"/>
        </w:rPr>
        <w:t>現時点では、</w:t>
      </w:r>
      <w:r>
        <w:rPr>
          <w:rFonts w:asciiTheme="majorEastAsia" w:eastAsiaTheme="majorEastAsia" w:hAnsiTheme="majorEastAsia" w:hint="eastAsia"/>
          <w:szCs w:val="21"/>
        </w:rPr>
        <w:t>要件や手続き等具体的な内容は、基本方針においても、明らかにされていない。</w:t>
      </w:r>
    </w:p>
    <w:p w:rsidR="0069280A" w:rsidRPr="00E54F1C" w:rsidRDefault="0069280A" w:rsidP="0069280A">
      <w:pPr>
        <w:rPr>
          <w:rFonts w:asciiTheme="majorEastAsia" w:eastAsiaTheme="majorEastAsia" w:hAnsiTheme="majorEastAsia"/>
          <w:szCs w:val="21"/>
        </w:rPr>
      </w:pP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（３）罰則</w:t>
      </w: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事業者が法律に違反した場合の直接的な罰則は規定されていないが、主務大臣の報告の求めに従わなかったり、虚偽の報告を行ったりした場合には、罰則（</w:t>
      </w:r>
      <w:r w:rsidR="00C9745E">
        <w:rPr>
          <w:rFonts w:asciiTheme="majorEastAsia" w:eastAsiaTheme="majorEastAsia" w:hAnsiTheme="majorEastAsia" w:hint="eastAsia"/>
          <w:szCs w:val="21"/>
        </w:rPr>
        <w:t>２０</w:t>
      </w:r>
      <w:r>
        <w:rPr>
          <w:rFonts w:asciiTheme="majorEastAsia" w:eastAsiaTheme="majorEastAsia" w:hAnsiTheme="majorEastAsia" w:hint="eastAsia"/>
          <w:szCs w:val="21"/>
        </w:rPr>
        <w:t>万円以下の過料）が課されることになる。</w:t>
      </w:r>
    </w:p>
    <w:p w:rsidR="0069280A" w:rsidRDefault="0069280A" w:rsidP="0069280A">
      <w:pPr>
        <w:rPr>
          <w:rFonts w:asciiTheme="majorEastAsia" w:eastAsiaTheme="majorEastAsia" w:hAnsiTheme="majorEastAsia"/>
          <w:szCs w:val="21"/>
        </w:rPr>
      </w:pP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（４）地方公共団体による処理</w:t>
      </w: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主務大臣の行政措置（</w:t>
      </w:r>
      <w:r w:rsidRPr="00E54F1C">
        <w:rPr>
          <w:rFonts w:asciiTheme="majorEastAsia" w:eastAsiaTheme="majorEastAsia" w:hAnsiTheme="majorEastAsia" w:hint="eastAsia"/>
          <w:szCs w:val="21"/>
        </w:rPr>
        <w:t>事業者に対する「報告聴取」、「助言」、「指導」、「勧告」</w:t>
      </w:r>
      <w:r>
        <w:rPr>
          <w:rFonts w:asciiTheme="majorEastAsia" w:eastAsiaTheme="majorEastAsia" w:hAnsiTheme="majorEastAsia" w:hint="eastAsia"/>
          <w:szCs w:val="21"/>
        </w:rPr>
        <w:t>）に関する事務は、政令で定めるところにより、地方公共団体が行うことができるとしている。</w:t>
      </w:r>
    </w:p>
    <w:p w:rsidR="0069280A" w:rsidRDefault="0069280A" w:rsidP="0069280A">
      <w:pPr>
        <w:rPr>
          <w:rFonts w:asciiTheme="majorEastAsia" w:eastAsiaTheme="majorEastAsia" w:hAnsiTheme="majorEastAsia"/>
          <w:szCs w:val="21"/>
        </w:rPr>
      </w:pPr>
      <w:r>
        <w:rPr>
          <w:rFonts w:asciiTheme="majorEastAsia" w:eastAsiaTheme="majorEastAsia" w:hAnsiTheme="majorEastAsia" w:hint="eastAsia"/>
          <w:szCs w:val="21"/>
        </w:rPr>
        <w:t xml:space="preserve">　しかしながら、</w:t>
      </w:r>
      <w:r w:rsidR="00093FE5">
        <w:rPr>
          <w:rFonts w:asciiTheme="majorEastAsia" w:eastAsiaTheme="majorEastAsia" w:hAnsiTheme="majorEastAsia" w:hint="eastAsia"/>
          <w:szCs w:val="21"/>
        </w:rPr>
        <w:t>現時点では、</w:t>
      </w:r>
      <w:r>
        <w:rPr>
          <w:rFonts w:asciiTheme="majorEastAsia" w:eastAsiaTheme="majorEastAsia" w:hAnsiTheme="majorEastAsia" w:hint="eastAsia"/>
          <w:szCs w:val="21"/>
        </w:rPr>
        <w:t>政令で定める内容は、明らかにされておらず、</w:t>
      </w:r>
      <w:r w:rsidR="00093FE5">
        <w:rPr>
          <w:rFonts w:asciiTheme="majorEastAsia" w:eastAsiaTheme="majorEastAsia" w:hAnsiTheme="majorEastAsia" w:hint="eastAsia"/>
          <w:szCs w:val="21"/>
        </w:rPr>
        <w:t>地方公共団体がどのように</w:t>
      </w:r>
      <w:r w:rsidR="00C9745E">
        <w:rPr>
          <w:rFonts w:asciiTheme="majorEastAsia" w:eastAsiaTheme="majorEastAsia" w:hAnsiTheme="majorEastAsia" w:hint="eastAsia"/>
          <w:szCs w:val="21"/>
        </w:rPr>
        <w:t>事務を</w:t>
      </w:r>
      <w:r w:rsidR="00093FE5">
        <w:rPr>
          <w:rFonts w:asciiTheme="majorEastAsia" w:eastAsiaTheme="majorEastAsia" w:hAnsiTheme="majorEastAsia" w:hint="eastAsia"/>
          <w:szCs w:val="21"/>
        </w:rPr>
        <w:t>行うことができるのか</w:t>
      </w:r>
      <w:r w:rsidR="00C9745E">
        <w:rPr>
          <w:rFonts w:asciiTheme="majorEastAsia" w:eastAsiaTheme="majorEastAsia" w:hAnsiTheme="majorEastAsia" w:hint="eastAsia"/>
          <w:szCs w:val="21"/>
        </w:rPr>
        <w:t>は</w:t>
      </w:r>
      <w:r w:rsidR="00093FE5">
        <w:rPr>
          <w:rFonts w:asciiTheme="majorEastAsia" w:eastAsiaTheme="majorEastAsia" w:hAnsiTheme="majorEastAsia" w:hint="eastAsia"/>
          <w:szCs w:val="21"/>
        </w:rPr>
        <w:t>不明</w:t>
      </w:r>
      <w:r w:rsidR="00682DE6">
        <w:rPr>
          <w:rFonts w:asciiTheme="majorEastAsia" w:eastAsiaTheme="majorEastAsia" w:hAnsiTheme="majorEastAsia" w:hint="eastAsia"/>
          <w:szCs w:val="21"/>
        </w:rPr>
        <w:t>となっている</w:t>
      </w:r>
      <w:r w:rsidR="00093FE5">
        <w:rPr>
          <w:rFonts w:asciiTheme="majorEastAsia" w:eastAsiaTheme="majorEastAsia" w:hAnsiTheme="majorEastAsia" w:hint="eastAsia"/>
          <w:szCs w:val="21"/>
        </w:rPr>
        <w:t>。</w:t>
      </w:r>
    </w:p>
    <w:p w:rsidR="0069280A" w:rsidRDefault="0069280A" w:rsidP="0069280A">
      <w:pPr>
        <w:rPr>
          <w:rFonts w:asciiTheme="majorEastAsia" w:eastAsiaTheme="majorEastAsia" w:hAnsiTheme="majorEastAsia"/>
          <w:szCs w:val="21"/>
        </w:rPr>
      </w:pPr>
    </w:p>
    <w:p w:rsidR="0069280A" w:rsidRDefault="0069280A" w:rsidP="0069280A">
      <w:pPr>
        <w:rPr>
          <w:rFonts w:asciiTheme="majorEastAsia" w:eastAsiaTheme="majorEastAsia" w:hAnsiTheme="majorEastAsia"/>
          <w:szCs w:val="21"/>
        </w:rPr>
      </w:pPr>
      <w:r w:rsidRPr="006C39C4">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6C39C4">
        <w:rPr>
          <w:rFonts w:asciiTheme="majorEastAsia" w:eastAsiaTheme="majorEastAsia" w:hAnsiTheme="majorEastAsia" w:hint="eastAsia"/>
          <w:szCs w:val="21"/>
        </w:rPr>
        <w:t>）</w:t>
      </w:r>
      <w:r>
        <w:rPr>
          <w:rFonts w:asciiTheme="majorEastAsia" w:eastAsiaTheme="majorEastAsia" w:hAnsiTheme="majorEastAsia" w:hint="eastAsia"/>
          <w:szCs w:val="21"/>
        </w:rPr>
        <w:t>まとめ</w:t>
      </w:r>
    </w:p>
    <w:p w:rsidR="0069280A" w:rsidRDefault="0069280A" w:rsidP="0069280A">
      <w:pPr>
        <w:pStyle w:val="ac"/>
        <w:numPr>
          <w:ilvl w:val="0"/>
          <w:numId w:val="6"/>
        </w:numPr>
        <w:ind w:leftChars="0"/>
        <w:rPr>
          <w:rFonts w:asciiTheme="majorEastAsia" w:eastAsiaTheme="majorEastAsia" w:hAnsiTheme="majorEastAsia"/>
          <w:szCs w:val="21"/>
        </w:rPr>
      </w:pPr>
      <w:r w:rsidRPr="006C39C4">
        <w:rPr>
          <w:rFonts w:asciiTheme="majorEastAsia" w:eastAsiaTheme="majorEastAsia" w:hAnsiTheme="majorEastAsia" w:hint="eastAsia"/>
          <w:szCs w:val="21"/>
        </w:rPr>
        <w:t>障害者差別解消法は、事業者による自主的な取組みを基本としつつ、行政措置により、</w:t>
      </w:r>
      <w:r w:rsidRPr="006C39C4">
        <w:rPr>
          <w:rFonts w:asciiTheme="majorEastAsia" w:eastAsiaTheme="majorEastAsia" w:hAnsiTheme="majorEastAsia" w:hint="eastAsia"/>
          <w:szCs w:val="21"/>
        </w:rPr>
        <w:lastRenderedPageBreak/>
        <w:t>実効性を確保している。</w:t>
      </w:r>
    </w:p>
    <w:p w:rsidR="0069280A" w:rsidRDefault="0069280A" w:rsidP="0069280A">
      <w:pPr>
        <w:pStyle w:val="ac"/>
        <w:numPr>
          <w:ilvl w:val="0"/>
          <w:numId w:val="6"/>
        </w:numPr>
        <w:ind w:leftChars="0"/>
        <w:rPr>
          <w:rFonts w:asciiTheme="majorEastAsia" w:eastAsiaTheme="majorEastAsia" w:hAnsiTheme="majorEastAsia"/>
          <w:szCs w:val="21"/>
        </w:rPr>
      </w:pPr>
      <w:r w:rsidRPr="006C39C4">
        <w:rPr>
          <w:rFonts w:asciiTheme="majorEastAsia" w:eastAsiaTheme="majorEastAsia" w:hAnsiTheme="majorEastAsia" w:hint="eastAsia"/>
          <w:szCs w:val="21"/>
        </w:rPr>
        <w:t>ただし、その行政措置は比較的緩やかなものに限定され、行われる場合も「特に必要があると認められるとき」になっている。</w:t>
      </w:r>
    </w:p>
    <w:p w:rsidR="0069280A" w:rsidRDefault="0069280A" w:rsidP="0069280A">
      <w:pPr>
        <w:pStyle w:val="ac"/>
        <w:numPr>
          <w:ilvl w:val="0"/>
          <w:numId w:val="6"/>
        </w:numPr>
        <w:ind w:leftChars="0"/>
        <w:rPr>
          <w:rFonts w:asciiTheme="majorEastAsia" w:eastAsiaTheme="majorEastAsia" w:hAnsiTheme="majorEastAsia"/>
          <w:szCs w:val="21"/>
        </w:rPr>
      </w:pPr>
      <w:r w:rsidRPr="006C39C4">
        <w:rPr>
          <w:rFonts w:asciiTheme="majorEastAsia" w:eastAsiaTheme="majorEastAsia" w:hAnsiTheme="majorEastAsia" w:hint="eastAsia"/>
          <w:szCs w:val="21"/>
        </w:rPr>
        <w:t>行政措置の発動に当たっても、まずは「報告聴取」、「助言」、「指導」により改善を促すとしており、事業者による自主的な取組みを尊重し、段階的な発動になっている。</w:t>
      </w:r>
    </w:p>
    <w:p w:rsidR="00093FE5" w:rsidRDefault="0069280A" w:rsidP="0069280A">
      <w:pPr>
        <w:pStyle w:val="ac"/>
        <w:numPr>
          <w:ilvl w:val="0"/>
          <w:numId w:val="6"/>
        </w:numPr>
        <w:ind w:leftChars="0"/>
        <w:rPr>
          <w:rFonts w:asciiTheme="majorEastAsia" w:eastAsiaTheme="majorEastAsia" w:hAnsiTheme="majorEastAsia"/>
          <w:szCs w:val="21"/>
        </w:rPr>
      </w:pPr>
      <w:r w:rsidRPr="006C39C4">
        <w:rPr>
          <w:rFonts w:asciiTheme="majorEastAsia" w:eastAsiaTheme="majorEastAsia" w:hAnsiTheme="majorEastAsia" w:hint="eastAsia"/>
          <w:szCs w:val="21"/>
        </w:rPr>
        <w:t>事業者が法律に違反した場合の直接的な罰則はない。</w:t>
      </w:r>
    </w:p>
    <w:p w:rsidR="0069280A" w:rsidRPr="00093FE5" w:rsidRDefault="00093FE5" w:rsidP="0069280A">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しかしながら、</w:t>
      </w:r>
      <w:r w:rsidR="0069280A" w:rsidRPr="00093FE5">
        <w:rPr>
          <w:rFonts w:asciiTheme="majorEastAsia" w:eastAsiaTheme="majorEastAsia" w:hAnsiTheme="majorEastAsia" w:hint="eastAsia"/>
          <w:szCs w:val="21"/>
        </w:rPr>
        <w:t>現時点では、</w:t>
      </w:r>
      <w:r>
        <w:rPr>
          <w:rFonts w:asciiTheme="majorEastAsia" w:eastAsiaTheme="majorEastAsia" w:hAnsiTheme="majorEastAsia" w:hint="eastAsia"/>
          <w:szCs w:val="21"/>
        </w:rPr>
        <w:t>行政措置の具体的な内容や地方公共団体が処理する事務を定める政令は明らかにされておらず、今後の国の動向を踏まえる必要がある。</w:t>
      </w:r>
    </w:p>
    <w:p w:rsidR="0069280A" w:rsidRDefault="0069280A" w:rsidP="0069280A">
      <w:pPr>
        <w:rPr>
          <w:rFonts w:asciiTheme="majorEastAsia" w:eastAsiaTheme="majorEastAsia" w:hAnsiTheme="majorEastAsia"/>
          <w:szCs w:val="21"/>
        </w:rPr>
      </w:pPr>
    </w:p>
    <w:p w:rsidR="004E2E7A" w:rsidRPr="000C5ECC" w:rsidRDefault="00682DE6" w:rsidP="004E2E7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E2E7A" w:rsidRPr="000C5ECC">
        <w:rPr>
          <w:rFonts w:asciiTheme="majorEastAsia" w:eastAsiaTheme="majorEastAsia" w:hAnsiTheme="majorEastAsia" w:hint="eastAsia"/>
          <w:sz w:val="24"/>
          <w:szCs w:val="24"/>
        </w:rPr>
        <w:t xml:space="preserve">　</w:t>
      </w:r>
      <w:r w:rsidR="00DE7A4D" w:rsidRPr="000C5ECC">
        <w:rPr>
          <w:rFonts w:asciiTheme="majorEastAsia" w:eastAsiaTheme="majorEastAsia" w:hAnsiTheme="majorEastAsia" w:hint="eastAsia"/>
          <w:sz w:val="24"/>
          <w:szCs w:val="24"/>
        </w:rPr>
        <w:t>他</w:t>
      </w:r>
      <w:r w:rsidR="00181610">
        <w:rPr>
          <w:rFonts w:asciiTheme="majorEastAsia" w:eastAsiaTheme="majorEastAsia" w:hAnsiTheme="majorEastAsia" w:hint="eastAsia"/>
          <w:sz w:val="24"/>
          <w:szCs w:val="24"/>
        </w:rPr>
        <w:t>自治体（都道府県）</w:t>
      </w:r>
      <w:r w:rsidR="00DE7A4D" w:rsidRPr="000C5ECC">
        <w:rPr>
          <w:rFonts w:asciiTheme="majorEastAsia" w:eastAsiaTheme="majorEastAsia" w:hAnsiTheme="majorEastAsia" w:hint="eastAsia"/>
          <w:sz w:val="24"/>
          <w:szCs w:val="24"/>
        </w:rPr>
        <w:t>の条例</w:t>
      </w:r>
      <w:r w:rsidR="000D0909">
        <w:rPr>
          <w:rFonts w:asciiTheme="majorEastAsia" w:eastAsiaTheme="majorEastAsia" w:hAnsiTheme="majorEastAsia" w:hint="eastAsia"/>
          <w:sz w:val="24"/>
          <w:szCs w:val="24"/>
        </w:rPr>
        <w:t>における実効性の確保</w:t>
      </w:r>
    </w:p>
    <w:p w:rsidR="009357ED" w:rsidRDefault="009357ED" w:rsidP="004E2E7A">
      <w:pPr>
        <w:rPr>
          <w:rFonts w:asciiTheme="majorEastAsia" w:eastAsiaTheme="majorEastAsia" w:hAnsiTheme="majorEastAsia"/>
          <w:szCs w:val="21"/>
        </w:rPr>
      </w:pPr>
      <w:r>
        <w:rPr>
          <w:rFonts w:asciiTheme="majorEastAsia" w:eastAsiaTheme="majorEastAsia" w:hAnsiTheme="majorEastAsia" w:hint="eastAsia"/>
          <w:szCs w:val="21"/>
        </w:rPr>
        <w:t>（１）</w:t>
      </w:r>
      <w:r w:rsidR="00181610">
        <w:rPr>
          <w:rFonts w:asciiTheme="majorEastAsia" w:eastAsiaTheme="majorEastAsia" w:hAnsiTheme="majorEastAsia" w:hint="eastAsia"/>
          <w:szCs w:val="21"/>
        </w:rPr>
        <w:t>実効性の確保のための措置の状況</w:t>
      </w:r>
    </w:p>
    <w:p w:rsidR="00DC6D54" w:rsidRDefault="00181610"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F7205">
        <w:rPr>
          <w:rFonts w:asciiTheme="majorEastAsia" w:eastAsiaTheme="majorEastAsia" w:hAnsiTheme="majorEastAsia" w:hint="eastAsia"/>
          <w:szCs w:val="21"/>
        </w:rPr>
        <w:t>（ア）勧告</w:t>
      </w: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あり：１０、なし：１</w:t>
      </w: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（イ）公表</w:t>
      </w: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あり：８、なし：３</w:t>
      </w: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（ウ）罰則</w:t>
      </w: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あり：０、なし：１１</w:t>
      </w:r>
    </w:p>
    <w:p w:rsidR="009F7205" w:rsidRDefault="009F7205" w:rsidP="004E2E7A">
      <w:pPr>
        <w:rPr>
          <w:rFonts w:asciiTheme="majorEastAsia" w:eastAsiaTheme="majorEastAsia" w:hAnsiTheme="majorEastAsia"/>
          <w:szCs w:val="21"/>
        </w:rPr>
      </w:pPr>
    </w:p>
    <w:p w:rsidR="009F7205" w:rsidRDefault="009F7205"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（参考）状況一覧</w:t>
      </w:r>
    </w:p>
    <w:tbl>
      <w:tblPr>
        <w:tblStyle w:val="a9"/>
        <w:tblW w:w="0" w:type="auto"/>
        <w:tblInd w:w="675" w:type="dxa"/>
        <w:tblLook w:val="04A0" w:firstRow="1" w:lastRow="0" w:firstColumn="1" w:lastColumn="0" w:noHBand="0" w:noVBand="1"/>
      </w:tblPr>
      <w:tblGrid>
        <w:gridCol w:w="1275"/>
        <w:gridCol w:w="1276"/>
        <w:gridCol w:w="1276"/>
        <w:gridCol w:w="1276"/>
      </w:tblGrid>
      <w:tr w:rsidR="00DC6D54" w:rsidTr="009F7205">
        <w:tc>
          <w:tcPr>
            <w:tcW w:w="1275"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都道府県名</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勧告</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公表</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罰則</w:t>
            </w:r>
          </w:p>
        </w:tc>
      </w:tr>
      <w:tr w:rsidR="00DC6D54" w:rsidTr="009F7205">
        <w:tc>
          <w:tcPr>
            <w:tcW w:w="1275"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千葉県</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あり</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なし</w:t>
            </w:r>
          </w:p>
        </w:tc>
        <w:tc>
          <w:tcPr>
            <w:tcW w:w="1276"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なし</w:t>
            </w:r>
          </w:p>
        </w:tc>
      </w:tr>
      <w:tr w:rsidR="00DC6D54" w:rsidTr="009F7205">
        <w:tc>
          <w:tcPr>
            <w:tcW w:w="1275" w:type="dxa"/>
          </w:tcPr>
          <w:p w:rsidR="00DC6D54" w:rsidRPr="00DC6D54" w:rsidRDefault="00DC6D54" w:rsidP="00DC6D54">
            <w:pPr>
              <w:jc w:val="center"/>
              <w:rPr>
                <w:rFonts w:asciiTheme="majorEastAsia" w:eastAsiaTheme="majorEastAsia" w:hAnsiTheme="majorEastAsia"/>
                <w:szCs w:val="21"/>
              </w:rPr>
            </w:pPr>
            <w:r w:rsidRPr="00DC6D54">
              <w:rPr>
                <w:rFonts w:asciiTheme="majorEastAsia" w:eastAsiaTheme="majorEastAsia" w:hAnsiTheme="majorEastAsia" w:hint="eastAsia"/>
                <w:szCs w:val="21"/>
              </w:rPr>
              <w:t>北海道</w:t>
            </w:r>
          </w:p>
        </w:tc>
        <w:tc>
          <w:tcPr>
            <w:tcW w:w="1276" w:type="dxa"/>
          </w:tcPr>
          <w:p w:rsidR="00DC6D54" w:rsidRPr="00DC6D54" w:rsidRDefault="00DC6D54"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DC6D54"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DC6D54"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DC6D54" w:rsidTr="009F7205">
        <w:tc>
          <w:tcPr>
            <w:tcW w:w="1275" w:type="dxa"/>
          </w:tcPr>
          <w:p w:rsidR="00DC6D54" w:rsidRPr="00DC6D54" w:rsidRDefault="00DC6D54" w:rsidP="00DC6D54">
            <w:pPr>
              <w:jc w:val="center"/>
              <w:rPr>
                <w:rFonts w:asciiTheme="majorEastAsia" w:eastAsiaTheme="majorEastAsia" w:hAnsiTheme="majorEastAsia"/>
                <w:szCs w:val="21"/>
              </w:rPr>
            </w:pPr>
            <w:r>
              <w:rPr>
                <w:rFonts w:asciiTheme="majorEastAsia" w:eastAsiaTheme="majorEastAsia" w:hAnsiTheme="majorEastAsia" w:hint="eastAsia"/>
                <w:szCs w:val="21"/>
              </w:rPr>
              <w:t>岩手県</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DC6D54" w:rsidTr="009F7205">
        <w:tc>
          <w:tcPr>
            <w:tcW w:w="1275"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熊本県</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DC6D54" w:rsidTr="009F7205">
        <w:tc>
          <w:tcPr>
            <w:tcW w:w="1275"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長崎県</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DC6D54" w:rsidTr="009F7205">
        <w:tc>
          <w:tcPr>
            <w:tcW w:w="1275"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沖縄県</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DC6D54" w:rsidTr="009F7205">
        <w:tc>
          <w:tcPr>
            <w:tcW w:w="1275"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茨城県</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DC6D54" w:rsidRPr="00DC6D54"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9F7205" w:rsidTr="009F7205">
        <w:tc>
          <w:tcPr>
            <w:tcW w:w="1275"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鹿児島県</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9F7205" w:rsidTr="009F7205">
        <w:tc>
          <w:tcPr>
            <w:tcW w:w="1275"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京都府</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9F7205" w:rsidTr="009F7205">
        <w:tc>
          <w:tcPr>
            <w:tcW w:w="1275"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富山県</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r w:rsidR="009F7205" w:rsidTr="009F7205">
        <w:tc>
          <w:tcPr>
            <w:tcW w:w="1275"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奈良県</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あり</w:t>
            </w:r>
          </w:p>
        </w:tc>
        <w:tc>
          <w:tcPr>
            <w:tcW w:w="1276" w:type="dxa"/>
          </w:tcPr>
          <w:p w:rsidR="009F7205" w:rsidRDefault="009F7205" w:rsidP="00DC6D54">
            <w:pPr>
              <w:jc w:val="center"/>
              <w:rPr>
                <w:rFonts w:asciiTheme="majorEastAsia" w:eastAsiaTheme="majorEastAsia" w:hAnsiTheme="majorEastAsia"/>
                <w:szCs w:val="21"/>
              </w:rPr>
            </w:pPr>
            <w:r>
              <w:rPr>
                <w:rFonts w:asciiTheme="majorEastAsia" w:eastAsiaTheme="majorEastAsia" w:hAnsiTheme="majorEastAsia" w:hint="eastAsia"/>
                <w:szCs w:val="21"/>
              </w:rPr>
              <w:t>なし</w:t>
            </w:r>
          </w:p>
        </w:tc>
      </w:tr>
    </w:tbl>
    <w:p w:rsidR="009357ED" w:rsidRDefault="009357ED" w:rsidP="004E2E7A">
      <w:pPr>
        <w:rPr>
          <w:rFonts w:asciiTheme="majorEastAsia" w:eastAsiaTheme="majorEastAsia" w:hAnsiTheme="majorEastAsia"/>
          <w:szCs w:val="21"/>
        </w:rPr>
      </w:pPr>
    </w:p>
    <w:p w:rsidR="004E2E7A" w:rsidRDefault="009357ED" w:rsidP="004E2E7A">
      <w:pPr>
        <w:rPr>
          <w:rFonts w:asciiTheme="majorEastAsia" w:eastAsiaTheme="majorEastAsia" w:hAnsiTheme="majorEastAsia"/>
          <w:szCs w:val="21"/>
        </w:rPr>
      </w:pPr>
      <w:r>
        <w:rPr>
          <w:rFonts w:asciiTheme="majorEastAsia" w:eastAsiaTheme="majorEastAsia" w:hAnsiTheme="majorEastAsia" w:hint="eastAsia"/>
          <w:szCs w:val="21"/>
        </w:rPr>
        <w:t>（２</w:t>
      </w:r>
      <w:r w:rsidR="007D709E">
        <w:rPr>
          <w:rFonts w:asciiTheme="majorEastAsia" w:eastAsiaTheme="majorEastAsia" w:hAnsiTheme="majorEastAsia" w:hint="eastAsia"/>
          <w:szCs w:val="21"/>
        </w:rPr>
        <w:t>）千葉県</w:t>
      </w:r>
      <w:r w:rsidR="000D0909">
        <w:rPr>
          <w:rFonts w:asciiTheme="majorEastAsia" w:eastAsiaTheme="majorEastAsia" w:hAnsiTheme="majorEastAsia" w:hint="eastAsia"/>
          <w:szCs w:val="21"/>
        </w:rPr>
        <w:t>の</w:t>
      </w:r>
      <w:r>
        <w:rPr>
          <w:rFonts w:asciiTheme="majorEastAsia" w:eastAsiaTheme="majorEastAsia" w:hAnsiTheme="majorEastAsia" w:hint="eastAsia"/>
          <w:szCs w:val="21"/>
        </w:rPr>
        <w:t>具体的な</w:t>
      </w:r>
      <w:r w:rsidR="006A36D0">
        <w:rPr>
          <w:rFonts w:asciiTheme="majorEastAsia" w:eastAsiaTheme="majorEastAsia" w:hAnsiTheme="majorEastAsia" w:hint="eastAsia"/>
          <w:szCs w:val="21"/>
        </w:rPr>
        <w:t>仕組み</w:t>
      </w:r>
    </w:p>
    <w:p w:rsidR="001C3C96" w:rsidRDefault="001C3C96"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不利益取扱いをすること及び合理的な配慮に基づく措置を行わないことに係る事案について、勧告制度を設けている。</w:t>
      </w:r>
    </w:p>
    <w:p w:rsidR="008D7DBF" w:rsidRDefault="007D709E" w:rsidP="008D7DBF">
      <w:pPr>
        <w:pStyle w:val="ac"/>
        <w:numPr>
          <w:ilvl w:val="0"/>
          <w:numId w:val="6"/>
        </w:numPr>
        <w:ind w:leftChars="0"/>
        <w:rPr>
          <w:rFonts w:asciiTheme="majorEastAsia" w:eastAsiaTheme="majorEastAsia" w:hAnsiTheme="majorEastAsia"/>
          <w:szCs w:val="21"/>
        </w:rPr>
      </w:pPr>
      <w:r w:rsidRPr="000D0909">
        <w:rPr>
          <w:rFonts w:asciiTheme="majorEastAsia" w:eastAsiaTheme="majorEastAsia" w:hAnsiTheme="majorEastAsia" w:hint="eastAsia"/>
          <w:szCs w:val="21"/>
        </w:rPr>
        <w:t>調整委員会が、助言やあっせんを行ったにもかかわらず、差別をした者が、正当な理由</w:t>
      </w:r>
      <w:r w:rsidRPr="000D0909">
        <w:rPr>
          <w:rFonts w:asciiTheme="majorEastAsia" w:eastAsiaTheme="majorEastAsia" w:hAnsiTheme="majorEastAsia" w:hint="eastAsia"/>
          <w:szCs w:val="21"/>
        </w:rPr>
        <w:lastRenderedPageBreak/>
        <w:t>なく</w:t>
      </w:r>
      <w:r w:rsidR="000D0909" w:rsidRPr="000D0909">
        <w:rPr>
          <w:rFonts w:asciiTheme="majorEastAsia" w:eastAsiaTheme="majorEastAsia" w:hAnsiTheme="majorEastAsia" w:hint="eastAsia"/>
          <w:szCs w:val="21"/>
        </w:rPr>
        <w:t>、助言やあっせんに従わない場合、調整委員会は、知事に対して差別解消の勧告の発動を求めることができる。</w:t>
      </w:r>
    </w:p>
    <w:p w:rsidR="008D7DBF" w:rsidRPr="008D7DBF" w:rsidRDefault="008D7DBF" w:rsidP="008D7DBF">
      <w:pPr>
        <w:pStyle w:val="ac"/>
        <w:ind w:leftChars="0" w:left="360"/>
        <w:rPr>
          <w:rFonts w:asciiTheme="majorEastAsia" w:eastAsiaTheme="majorEastAsia" w:hAnsiTheme="majorEastAsia"/>
          <w:szCs w:val="21"/>
        </w:rPr>
      </w:pPr>
      <w:r>
        <w:rPr>
          <w:rFonts w:asciiTheme="majorEastAsia" w:eastAsiaTheme="majorEastAsia" w:hAnsiTheme="majorEastAsia" w:hint="eastAsia"/>
          <w:szCs w:val="21"/>
        </w:rPr>
        <w:t>この場合、</w:t>
      </w:r>
      <w:r w:rsidRPr="008D7DBF">
        <w:rPr>
          <w:rFonts w:asciiTheme="majorEastAsia" w:eastAsiaTheme="majorEastAsia" w:hAnsiTheme="majorEastAsia" w:hint="eastAsia"/>
          <w:szCs w:val="21"/>
        </w:rPr>
        <w:t>正当な理由とは、差別をしたと認められる者が入院治療を受けているなど、助言やあっせんに従うことのできないやむを得ない</w:t>
      </w:r>
      <w:r>
        <w:rPr>
          <w:rFonts w:asciiTheme="majorEastAsia" w:eastAsiaTheme="majorEastAsia" w:hAnsiTheme="majorEastAsia" w:hint="eastAsia"/>
          <w:szCs w:val="21"/>
        </w:rPr>
        <w:t>事情等がある場合をいう。</w:t>
      </w:r>
    </w:p>
    <w:p w:rsidR="000D0909" w:rsidRDefault="000D0909" w:rsidP="000D0909">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知事は、調整委員会から勧告の発動を求められた場合、その意見を尊重して、書面により勧告を行う</w:t>
      </w:r>
      <w:r w:rsidR="009357ED">
        <w:rPr>
          <w:rFonts w:asciiTheme="majorEastAsia" w:eastAsiaTheme="majorEastAsia" w:hAnsiTheme="majorEastAsia" w:hint="eastAsia"/>
          <w:szCs w:val="21"/>
        </w:rPr>
        <w:t>ことができる</w:t>
      </w:r>
      <w:r>
        <w:rPr>
          <w:rFonts w:asciiTheme="majorEastAsia" w:eastAsiaTheme="majorEastAsia" w:hAnsiTheme="majorEastAsia" w:hint="eastAsia"/>
          <w:szCs w:val="21"/>
        </w:rPr>
        <w:t>。</w:t>
      </w:r>
    </w:p>
    <w:p w:rsidR="000D0909" w:rsidRDefault="000D0909" w:rsidP="000D0909">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条例が目指す解決方法は、相談員等を交えての話し合いや、調整委員会の助言やあっせんに基づく、当事者間の自主的な解決であるため、勧告は、明らかに悪質なケースに限定して発動する。</w:t>
      </w:r>
    </w:p>
    <w:p w:rsidR="006A36D0" w:rsidRDefault="006A36D0" w:rsidP="000D0909">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知事は、正当な理由なく知事の調査を拒否した者に対して、調査に協力するよう書面により勧告を行う。</w:t>
      </w:r>
    </w:p>
    <w:p w:rsidR="001C3C96" w:rsidRDefault="008D7DBF" w:rsidP="000D0909">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知事は、勧告する場合は、</w:t>
      </w:r>
      <w:r w:rsidR="001C3C96">
        <w:rPr>
          <w:rFonts w:asciiTheme="majorEastAsia" w:eastAsiaTheme="majorEastAsia" w:hAnsiTheme="majorEastAsia" w:hint="eastAsia"/>
          <w:szCs w:val="21"/>
        </w:rPr>
        <w:t>意見の聴取を行う必要がある。</w:t>
      </w:r>
    </w:p>
    <w:p w:rsidR="000D0909" w:rsidRPr="000D0909" w:rsidRDefault="000D0909" w:rsidP="000D0909">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勧告に従わない場合の公表制度は設けられていない。</w:t>
      </w:r>
      <w:r w:rsidR="006A36D0">
        <w:rPr>
          <w:rFonts w:asciiTheme="majorEastAsia" w:eastAsiaTheme="majorEastAsia" w:hAnsiTheme="majorEastAsia" w:hint="eastAsia"/>
          <w:szCs w:val="21"/>
        </w:rPr>
        <w:t>なお、</w:t>
      </w:r>
      <w:r>
        <w:rPr>
          <w:rFonts w:asciiTheme="majorEastAsia" w:eastAsiaTheme="majorEastAsia" w:hAnsiTheme="majorEastAsia" w:hint="eastAsia"/>
          <w:szCs w:val="21"/>
        </w:rPr>
        <w:t>公表制度については、条例の運用状況を踏まえ議論する必要があるが、適正手続の</w:t>
      </w:r>
      <w:r w:rsidR="006A36D0">
        <w:rPr>
          <w:rFonts w:asciiTheme="majorEastAsia" w:eastAsiaTheme="majorEastAsia" w:hAnsiTheme="majorEastAsia" w:hint="eastAsia"/>
          <w:szCs w:val="21"/>
        </w:rPr>
        <w:t>確保のほか、個人情報保護の観点からも、慎重な検討が必要であると考えられている。</w:t>
      </w:r>
    </w:p>
    <w:p w:rsidR="000D0909" w:rsidRDefault="000D0909"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E2E7A" w:rsidRDefault="000D0909" w:rsidP="004E2E7A">
      <w:pPr>
        <w:rPr>
          <w:rFonts w:asciiTheme="majorEastAsia" w:eastAsiaTheme="majorEastAsia" w:hAnsiTheme="majorEastAsia"/>
          <w:szCs w:val="21"/>
        </w:rPr>
      </w:pPr>
      <w:r>
        <w:rPr>
          <w:rFonts w:asciiTheme="majorEastAsia" w:eastAsiaTheme="majorEastAsia" w:hAnsiTheme="majorEastAsia" w:hint="eastAsia"/>
          <w:szCs w:val="21"/>
        </w:rPr>
        <w:t>（</w:t>
      </w:r>
      <w:r w:rsidR="009357ED">
        <w:rPr>
          <w:rFonts w:asciiTheme="majorEastAsia" w:eastAsiaTheme="majorEastAsia" w:hAnsiTheme="majorEastAsia" w:hint="eastAsia"/>
          <w:szCs w:val="21"/>
        </w:rPr>
        <w:t>３</w:t>
      </w:r>
      <w:r>
        <w:rPr>
          <w:rFonts w:asciiTheme="majorEastAsia" w:eastAsiaTheme="majorEastAsia" w:hAnsiTheme="majorEastAsia" w:hint="eastAsia"/>
          <w:szCs w:val="21"/>
        </w:rPr>
        <w:t>）</w:t>
      </w:r>
      <w:r w:rsidR="001C3C96">
        <w:rPr>
          <w:rFonts w:asciiTheme="majorEastAsia" w:eastAsiaTheme="majorEastAsia" w:hAnsiTheme="majorEastAsia" w:hint="eastAsia"/>
          <w:szCs w:val="21"/>
        </w:rPr>
        <w:t>熊本県の</w:t>
      </w:r>
      <w:r w:rsidR="009357ED">
        <w:rPr>
          <w:rFonts w:asciiTheme="majorEastAsia" w:eastAsiaTheme="majorEastAsia" w:hAnsiTheme="majorEastAsia" w:hint="eastAsia"/>
          <w:szCs w:val="21"/>
        </w:rPr>
        <w:t>具体的な</w:t>
      </w:r>
      <w:r w:rsidR="001C3C96">
        <w:rPr>
          <w:rFonts w:asciiTheme="majorEastAsia" w:eastAsiaTheme="majorEastAsia" w:hAnsiTheme="majorEastAsia" w:hint="eastAsia"/>
          <w:szCs w:val="21"/>
        </w:rPr>
        <w:t>仕組み</w:t>
      </w:r>
    </w:p>
    <w:p w:rsidR="001C3C96" w:rsidRDefault="001C3C96" w:rsidP="004E2E7A">
      <w:pPr>
        <w:rPr>
          <w:rFonts w:asciiTheme="majorEastAsia" w:eastAsiaTheme="majorEastAsia" w:hAnsiTheme="majorEastAsia"/>
          <w:szCs w:val="21"/>
        </w:rPr>
      </w:pPr>
      <w:r>
        <w:rPr>
          <w:rFonts w:asciiTheme="majorEastAsia" w:eastAsiaTheme="majorEastAsia" w:hAnsiTheme="majorEastAsia" w:hint="eastAsia"/>
          <w:szCs w:val="21"/>
        </w:rPr>
        <w:t xml:space="preserve">　不利益取扱いに係る事案について、勧告制度及び公表制度を設けている。</w:t>
      </w:r>
    </w:p>
    <w:p w:rsidR="001C3C96" w:rsidRDefault="009357ED" w:rsidP="001C3C96">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知事は、</w:t>
      </w:r>
      <w:r w:rsidR="001C3C96">
        <w:rPr>
          <w:rFonts w:asciiTheme="majorEastAsia" w:eastAsiaTheme="majorEastAsia" w:hAnsiTheme="majorEastAsia" w:hint="eastAsia"/>
          <w:szCs w:val="21"/>
        </w:rPr>
        <w:t>調整委員会の求めがあった場合に、</w:t>
      </w:r>
      <w:r>
        <w:rPr>
          <w:rFonts w:asciiTheme="majorEastAsia" w:eastAsiaTheme="majorEastAsia" w:hAnsiTheme="majorEastAsia" w:hint="eastAsia"/>
          <w:szCs w:val="21"/>
        </w:rPr>
        <w:t>必要があったと認められるときは、不利益取扱いをしたと認められる者に対して、必要な措置をとるよう勧告することができる。</w:t>
      </w:r>
    </w:p>
    <w:p w:rsidR="009357ED" w:rsidRDefault="009357ED" w:rsidP="001C3C96">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知事は、勧告を受けた者が正当な理由なく従わないときは、その旨を公表することができる。</w:t>
      </w:r>
    </w:p>
    <w:p w:rsidR="009357ED" w:rsidRDefault="009357ED" w:rsidP="001C3C96">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公表はあくまでも実効性を確保するための最後の担保措置であり、条例の趣旨や公益性を踏みにじるような悪質な事例であって、社会的影響が大きく、看過することにより今後の条例の運用に重大な支障を来すおそれがある場合に限定して行う。</w:t>
      </w:r>
    </w:p>
    <w:p w:rsidR="00682DE6" w:rsidRDefault="009357ED" w:rsidP="00682DE6">
      <w:pPr>
        <w:pStyle w:val="ac"/>
        <w:numPr>
          <w:ilvl w:val="0"/>
          <w:numId w:val="6"/>
        </w:numPr>
        <w:ind w:leftChars="0"/>
        <w:rPr>
          <w:rFonts w:asciiTheme="majorEastAsia" w:eastAsiaTheme="majorEastAsia" w:hAnsiTheme="majorEastAsia"/>
          <w:szCs w:val="21"/>
        </w:rPr>
      </w:pPr>
      <w:r>
        <w:rPr>
          <w:rFonts w:asciiTheme="majorEastAsia" w:eastAsiaTheme="majorEastAsia" w:hAnsiTheme="majorEastAsia" w:hint="eastAsia"/>
          <w:szCs w:val="21"/>
        </w:rPr>
        <w:t>公表に当たっては、手続きの慎重を期すため、あらかじめ意見を述べる機会を与える。</w:t>
      </w:r>
    </w:p>
    <w:p w:rsidR="00682DE6" w:rsidRDefault="00682DE6" w:rsidP="00682DE6">
      <w:pPr>
        <w:rPr>
          <w:rFonts w:asciiTheme="majorEastAsia" w:eastAsiaTheme="majorEastAsia" w:hAnsiTheme="majorEastAsia"/>
          <w:szCs w:val="21"/>
        </w:rPr>
      </w:pPr>
    </w:p>
    <w:p w:rsidR="00682DE6" w:rsidRPr="0069280A" w:rsidRDefault="00682DE6" w:rsidP="00682DE6">
      <w:pPr>
        <w:rPr>
          <w:rFonts w:asciiTheme="majorEastAsia" w:eastAsiaTheme="majorEastAsia" w:hAnsiTheme="majorEastAsia"/>
          <w:szCs w:val="21"/>
        </w:rPr>
      </w:pPr>
      <w:r>
        <w:rPr>
          <w:rFonts w:asciiTheme="majorEastAsia" w:eastAsiaTheme="majorEastAsia" w:hAnsiTheme="majorEastAsia" w:hint="eastAsia"/>
          <w:sz w:val="24"/>
          <w:szCs w:val="24"/>
        </w:rPr>
        <w:t>３</w:t>
      </w:r>
      <w:r w:rsidRPr="00060D6A">
        <w:rPr>
          <w:rFonts w:asciiTheme="majorEastAsia" w:eastAsiaTheme="majorEastAsia" w:hAnsiTheme="majorEastAsia" w:hint="eastAsia"/>
          <w:sz w:val="24"/>
          <w:szCs w:val="24"/>
        </w:rPr>
        <w:t xml:space="preserve">　実効性の確保のための措置の必要性に</w:t>
      </w:r>
      <w:r w:rsidR="00A242F2">
        <w:rPr>
          <w:rFonts w:asciiTheme="majorEastAsia" w:eastAsiaTheme="majorEastAsia" w:hAnsiTheme="majorEastAsia" w:hint="eastAsia"/>
          <w:sz w:val="24"/>
          <w:szCs w:val="24"/>
        </w:rPr>
        <w:t>関する考えられる</w:t>
      </w:r>
      <w:bookmarkStart w:id="0" w:name="_GoBack"/>
      <w:bookmarkEnd w:id="0"/>
      <w:r w:rsidRPr="00060D6A">
        <w:rPr>
          <w:rFonts w:asciiTheme="majorEastAsia" w:eastAsiaTheme="majorEastAsia" w:hAnsiTheme="majorEastAsia" w:hint="eastAsia"/>
          <w:sz w:val="24"/>
          <w:szCs w:val="24"/>
        </w:rPr>
        <w:t>論点</w:t>
      </w:r>
    </w:p>
    <w:p w:rsidR="00682DE6" w:rsidRDefault="00682DE6" w:rsidP="00682DE6">
      <w:pPr>
        <w:rPr>
          <w:rFonts w:asciiTheme="majorEastAsia" w:eastAsiaTheme="majorEastAsia" w:hAnsiTheme="majorEastAsia"/>
        </w:rPr>
      </w:pPr>
      <w:r>
        <w:rPr>
          <w:rFonts w:asciiTheme="majorEastAsia" w:eastAsiaTheme="majorEastAsia" w:hAnsiTheme="majorEastAsia" w:hint="eastAsia"/>
        </w:rPr>
        <w:t xml:space="preserve">　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682DE6" w:rsidRDefault="00682DE6" w:rsidP="00682DE6">
      <w:pPr>
        <w:ind w:firstLineChars="100" w:firstLine="210"/>
        <w:rPr>
          <w:rFonts w:asciiTheme="majorEastAsia" w:eastAsiaTheme="majorEastAsia" w:hAnsiTheme="majorEastAsia"/>
        </w:rPr>
      </w:pPr>
      <w:r>
        <w:rPr>
          <w:rFonts w:asciiTheme="majorEastAsia" w:eastAsiaTheme="majorEastAsia" w:hAnsiTheme="majorEastAsia" w:hint="eastAsia"/>
        </w:rPr>
        <w:t>しかしながら、それらに期待することが困難な場合を想定して、たとえば、合議体によるあっせんを行っても、正当な理由なく、事業者があっせんに従わない場合に、</w:t>
      </w:r>
      <w:r w:rsidRPr="003D1939">
        <w:rPr>
          <w:rFonts w:asciiTheme="majorEastAsia" w:eastAsiaTheme="majorEastAsia" w:hAnsiTheme="majorEastAsia" w:hint="eastAsia"/>
        </w:rPr>
        <w:t>障害者差別解消法が規定する行政措置</w:t>
      </w:r>
      <w:r>
        <w:rPr>
          <w:rFonts w:asciiTheme="majorEastAsia" w:eastAsiaTheme="majorEastAsia" w:hAnsiTheme="majorEastAsia" w:hint="eastAsia"/>
        </w:rPr>
        <w:t>を踏まえた上で、府独自の仕組みとして</w:t>
      </w:r>
    </w:p>
    <w:p w:rsidR="00682DE6" w:rsidRDefault="00682DE6" w:rsidP="00682DE6">
      <w:pPr>
        <w:rPr>
          <w:rFonts w:asciiTheme="majorEastAsia" w:eastAsiaTheme="majorEastAsia" w:hAnsiTheme="majorEastAsia"/>
        </w:rPr>
      </w:pPr>
      <w:r>
        <w:rPr>
          <w:rFonts w:asciiTheme="majorEastAsia" w:eastAsiaTheme="majorEastAsia" w:hAnsiTheme="majorEastAsia" w:hint="eastAsia"/>
        </w:rPr>
        <w:t>（１）実効性の確保のための措置が必要かどうか</w:t>
      </w:r>
    </w:p>
    <w:p w:rsidR="00682DE6" w:rsidRDefault="00682DE6" w:rsidP="00682DE6">
      <w:pPr>
        <w:rPr>
          <w:rFonts w:asciiTheme="majorEastAsia" w:eastAsiaTheme="majorEastAsia" w:hAnsiTheme="majorEastAsia"/>
        </w:rPr>
      </w:pPr>
      <w:r>
        <w:rPr>
          <w:rFonts w:asciiTheme="majorEastAsia" w:eastAsiaTheme="majorEastAsia" w:hAnsiTheme="majorEastAsia" w:hint="eastAsia"/>
        </w:rPr>
        <w:t>（２）（必要な場合は）どのような措置（勧告、公表、罰則）が適当か</w:t>
      </w:r>
    </w:p>
    <w:p w:rsidR="00682DE6" w:rsidRPr="00682DE6" w:rsidRDefault="00682DE6" w:rsidP="00682DE6">
      <w:pPr>
        <w:rPr>
          <w:rFonts w:asciiTheme="majorEastAsia" w:eastAsiaTheme="majorEastAsia" w:hAnsiTheme="majorEastAsia"/>
        </w:rPr>
      </w:pPr>
      <w:r>
        <w:rPr>
          <w:rFonts w:asciiTheme="majorEastAsia" w:eastAsiaTheme="majorEastAsia" w:hAnsiTheme="majorEastAsia" w:hint="eastAsia"/>
        </w:rPr>
        <w:lastRenderedPageBreak/>
        <w:t xml:space="preserve">　なお、差別解消部会の提言では、考えられる仕組みの例として、合議体があっせんを行っても、事業者が正当な理由なく従わない場合に、勧告を行うことや、正当な理由なく勧告に従わない場合には公表を行うことなどを検討する必要があるとしている。</w:t>
      </w:r>
    </w:p>
    <w:sectPr w:rsidR="00682DE6" w:rsidRPr="00682DE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8D" w:rsidRDefault="001B3D8D" w:rsidP="00464AED">
      <w:r>
        <w:separator/>
      </w:r>
    </w:p>
  </w:endnote>
  <w:endnote w:type="continuationSeparator" w:id="0">
    <w:p w:rsidR="001B3D8D" w:rsidRDefault="001B3D8D"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61997"/>
      <w:docPartObj>
        <w:docPartGallery w:val="Page Numbers (Bottom of Page)"/>
        <w:docPartUnique/>
      </w:docPartObj>
    </w:sdtPr>
    <w:sdtEndPr/>
    <w:sdtContent>
      <w:p w:rsidR="00DC6D54" w:rsidRDefault="00DC6D54">
        <w:pPr>
          <w:pStyle w:val="a7"/>
          <w:jc w:val="center"/>
        </w:pPr>
        <w:r>
          <w:fldChar w:fldCharType="begin"/>
        </w:r>
        <w:r>
          <w:instrText>PAGE   \* MERGEFORMAT</w:instrText>
        </w:r>
        <w:r>
          <w:fldChar w:fldCharType="separate"/>
        </w:r>
        <w:r w:rsidR="00A242F2" w:rsidRPr="00A242F2">
          <w:rPr>
            <w:noProof/>
            <w:lang w:val="ja-JP"/>
          </w:rPr>
          <w:t>3</w:t>
        </w:r>
        <w:r>
          <w:fldChar w:fldCharType="end"/>
        </w:r>
      </w:p>
    </w:sdtContent>
  </w:sdt>
  <w:p w:rsidR="00DC6D54" w:rsidRDefault="00DC6D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8D" w:rsidRDefault="001B3D8D" w:rsidP="00464AED">
      <w:r>
        <w:separator/>
      </w:r>
    </w:p>
  </w:footnote>
  <w:footnote w:type="continuationSeparator" w:id="0">
    <w:p w:rsidR="001B3D8D" w:rsidRDefault="001B3D8D"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BD3"/>
    <w:multiLevelType w:val="hybridMultilevel"/>
    <w:tmpl w:val="3B103852"/>
    <w:lvl w:ilvl="0" w:tplc="FAD8D24A">
      <w:start w:val="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26060053"/>
    <w:multiLevelType w:val="hybridMultilevel"/>
    <w:tmpl w:val="38BAA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2E6CC4"/>
    <w:multiLevelType w:val="hybridMultilevel"/>
    <w:tmpl w:val="B77CC9A6"/>
    <w:lvl w:ilvl="0" w:tplc="856E3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C10D57"/>
    <w:multiLevelType w:val="hybridMultilevel"/>
    <w:tmpl w:val="A70280D0"/>
    <w:lvl w:ilvl="0" w:tplc="9432A7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19047F"/>
    <w:multiLevelType w:val="hybridMultilevel"/>
    <w:tmpl w:val="4B6CDFB2"/>
    <w:lvl w:ilvl="0" w:tplc="EE3AB5CC">
      <w:start w:val="5"/>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957E20"/>
    <w:multiLevelType w:val="hybridMultilevel"/>
    <w:tmpl w:val="D7C4F5BC"/>
    <w:lvl w:ilvl="0" w:tplc="EE3AB5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DD80CFF"/>
    <w:multiLevelType w:val="hybridMultilevel"/>
    <w:tmpl w:val="BC48B64E"/>
    <w:lvl w:ilvl="0" w:tplc="419A3C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00223E"/>
    <w:rsid w:val="00017AC9"/>
    <w:rsid w:val="00060D6A"/>
    <w:rsid w:val="00093FE5"/>
    <w:rsid w:val="000C069F"/>
    <w:rsid w:val="000C5ECC"/>
    <w:rsid w:val="000D0909"/>
    <w:rsid w:val="000F42DE"/>
    <w:rsid w:val="001048BC"/>
    <w:rsid w:val="0013179C"/>
    <w:rsid w:val="0013729E"/>
    <w:rsid w:val="00145957"/>
    <w:rsid w:val="001557CC"/>
    <w:rsid w:val="00181610"/>
    <w:rsid w:val="00192F2D"/>
    <w:rsid w:val="001B3D8D"/>
    <w:rsid w:val="001C291A"/>
    <w:rsid w:val="001C3C96"/>
    <w:rsid w:val="001D3E12"/>
    <w:rsid w:val="001D4B7F"/>
    <w:rsid w:val="001E4957"/>
    <w:rsid w:val="0021340E"/>
    <w:rsid w:val="002B700E"/>
    <w:rsid w:val="002C0ECF"/>
    <w:rsid w:val="002D1DFD"/>
    <w:rsid w:val="00335B89"/>
    <w:rsid w:val="003440C3"/>
    <w:rsid w:val="003523A2"/>
    <w:rsid w:val="003B0255"/>
    <w:rsid w:val="003D1939"/>
    <w:rsid w:val="003F42BE"/>
    <w:rsid w:val="003F4669"/>
    <w:rsid w:val="00464AED"/>
    <w:rsid w:val="004A6BA2"/>
    <w:rsid w:val="004E2E7A"/>
    <w:rsid w:val="00543056"/>
    <w:rsid w:val="005628E0"/>
    <w:rsid w:val="005D5FE7"/>
    <w:rsid w:val="00634A70"/>
    <w:rsid w:val="00637E58"/>
    <w:rsid w:val="00653A8A"/>
    <w:rsid w:val="00682DE6"/>
    <w:rsid w:val="0069280A"/>
    <w:rsid w:val="006A0014"/>
    <w:rsid w:val="006A36D0"/>
    <w:rsid w:val="006C39C4"/>
    <w:rsid w:val="00703F3A"/>
    <w:rsid w:val="00735300"/>
    <w:rsid w:val="007426DC"/>
    <w:rsid w:val="007445A2"/>
    <w:rsid w:val="00760048"/>
    <w:rsid w:val="00770E6E"/>
    <w:rsid w:val="007936D8"/>
    <w:rsid w:val="007C3F2F"/>
    <w:rsid w:val="007D697C"/>
    <w:rsid w:val="007D709E"/>
    <w:rsid w:val="007F7424"/>
    <w:rsid w:val="00800AA6"/>
    <w:rsid w:val="008D7DBF"/>
    <w:rsid w:val="009357ED"/>
    <w:rsid w:val="00947652"/>
    <w:rsid w:val="00986A78"/>
    <w:rsid w:val="009A4F30"/>
    <w:rsid w:val="009F7205"/>
    <w:rsid w:val="00A1234C"/>
    <w:rsid w:val="00A242F2"/>
    <w:rsid w:val="00AC564E"/>
    <w:rsid w:val="00B46E39"/>
    <w:rsid w:val="00B568A9"/>
    <w:rsid w:val="00C17CCC"/>
    <w:rsid w:val="00C70687"/>
    <w:rsid w:val="00C7702A"/>
    <w:rsid w:val="00C80E75"/>
    <w:rsid w:val="00C9745E"/>
    <w:rsid w:val="00CB2540"/>
    <w:rsid w:val="00CB61B1"/>
    <w:rsid w:val="00CC15FE"/>
    <w:rsid w:val="00CC1A5E"/>
    <w:rsid w:val="00CC721D"/>
    <w:rsid w:val="00D076A9"/>
    <w:rsid w:val="00D22D8C"/>
    <w:rsid w:val="00D34CE0"/>
    <w:rsid w:val="00D54E7E"/>
    <w:rsid w:val="00D66A2F"/>
    <w:rsid w:val="00DC6D54"/>
    <w:rsid w:val="00DD5941"/>
    <w:rsid w:val="00DE7A4D"/>
    <w:rsid w:val="00DF326E"/>
    <w:rsid w:val="00E40846"/>
    <w:rsid w:val="00E46F20"/>
    <w:rsid w:val="00E5099A"/>
    <w:rsid w:val="00E54F1C"/>
    <w:rsid w:val="00E62834"/>
    <w:rsid w:val="00EE1145"/>
    <w:rsid w:val="00F5420E"/>
    <w:rsid w:val="00F81752"/>
    <w:rsid w:val="00FA6FD0"/>
    <w:rsid w:val="00FC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77337">
      <w:bodyDiv w:val="1"/>
      <w:marLeft w:val="0"/>
      <w:marRight w:val="0"/>
      <w:marTop w:val="0"/>
      <w:marBottom w:val="0"/>
      <w:divBdr>
        <w:top w:val="none" w:sz="0" w:space="0" w:color="auto"/>
        <w:left w:val="none" w:sz="0" w:space="0" w:color="auto"/>
        <w:bottom w:val="none" w:sz="0" w:space="0" w:color="auto"/>
        <w:right w:val="none" w:sz="0" w:space="0" w:color="auto"/>
      </w:divBdr>
    </w:div>
    <w:div w:id="209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4</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40</cp:revision>
  <cp:lastPrinted>2015-06-11T12:21:00Z</cp:lastPrinted>
  <dcterms:created xsi:type="dcterms:W3CDTF">2014-09-17T09:10:00Z</dcterms:created>
  <dcterms:modified xsi:type="dcterms:W3CDTF">2015-06-22T06:10:00Z</dcterms:modified>
</cp:coreProperties>
</file>