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EE" w:rsidRDefault="003346EE" w:rsidP="008D1910">
      <w:pPr>
        <w:jc w:val="center"/>
        <w:rPr>
          <w:rFonts w:asciiTheme="majorEastAsia" w:eastAsiaTheme="majorEastAsia" w:hAnsiTheme="majorEastAsia" w:hint="eastAsia"/>
          <w:szCs w:val="21"/>
        </w:rPr>
      </w:pPr>
      <w:r>
        <w:rPr>
          <w:rFonts w:asciiTheme="majorEastAsia" w:eastAsiaTheme="majorEastAsia" w:hAnsiTheme="majorEastAsia" w:hint="eastAsia"/>
          <w:szCs w:val="21"/>
        </w:rPr>
        <w:t>障害者差別解消法・基本方針における関係部分抜粋</w:t>
      </w:r>
      <w:r w:rsidRPr="007C3F2F">
        <w:rPr>
          <w:rFonts w:asciiTheme="majorEastAsia" w:eastAsiaTheme="majorEastAsia" w:hAnsiTheme="majorEastAsia" w:cs="ＭＳ Ｐゴシック"/>
          <w:b/>
          <w:noProof/>
          <w:kern w:val="0"/>
          <w:sz w:val="24"/>
          <w:szCs w:val="24"/>
        </w:rPr>
        <mc:AlternateContent>
          <mc:Choice Requires="wps">
            <w:drawing>
              <wp:anchor distT="0" distB="0" distL="114300" distR="114300" simplePos="0" relativeHeight="251659264" behindDoc="0" locked="0" layoutInCell="1" allowOverlap="1" wp14:anchorId="74241541" wp14:editId="27504C29">
                <wp:simplePos x="0" y="0"/>
                <wp:positionH relativeFrom="column">
                  <wp:posOffset>4663440</wp:posOffset>
                </wp:positionH>
                <wp:positionV relativeFrom="paragraph">
                  <wp:posOffset>-355600</wp:posOffset>
                </wp:positionV>
                <wp:extent cx="971550" cy="291465"/>
                <wp:effectExtent l="0" t="0" r="19050" b="139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1465"/>
                        </a:xfrm>
                        <a:prstGeom prst="rect">
                          <a:avLst/>
                        </a:prstGeom>
                        <a:solidFill>
                          <a:srgbClr val="FFFFFF"/>
                        </a:solidFill>
                        <a:ln w="9525">
                          <a:solidFill>
                            <a:srgbClr val="000000"/>
                          </a:solidFill>
                          <a:miter lim="800000"/>
                          <a:headEnd/>
                          <a:tailEnd/>
                        </a:ln>
                      </wps:spPr>
                      <wps:txbx>
                        <w:txbxContent>
                          <w:p w:rsidR="00DC6D54" w:rsidRDefault="008D1910" w:rsidP="002D1DFD">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w:t>
                            </w:r>
                            <w:r w:rsidR="003346EE">
                              <w:rPr>
                                <w:rFonts w:ascii="HGSｺﾞｼｯｸM" w:eastAsia="HGSｺﾞｼｯｸM" w:hAnsi="HGSｺﾞｼｯｸE" w:hint="eastAsia"/>
                                <w:sz w:val="24"/>
                                <w:szCs w:val="24"/>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367.2pt;margin-top:-28pt;width:76.5pt;height:22.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">
                <v:textbox style="mso-fit-shape-to-text:t">
                  <w:txbxContent>
                    <w:p w:rsidR="00DC6D54" w:rsidRDefault="008D1910" w:rsidP="002D1DFD">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w:t>
                      </w:r>
                      <w:r w:rsidR="003346EE">
                        <w:rPr>
                          <w:rFonts w:ascii="HGSｺﾞｼｯｸM" w:eastAsia="HGSｺﾞｼｯｸM" w:hAnsi="HGSｺﾞｼｯｸE" w:hint="eastAsia"/>
                          <w:sz w:val="24"/>
                          <w:szCs w:val="24"/>
                        </w:rPr>
                        <w:t>１</w:t>
                      </w:r>
                    </w:p>
                  </w:txbxContent>
                </v:textbox>
              </v:shape>
            </w:pict>
          </mc:Fallback>
        </mc:AlternateContent>
      </w:r>
    </w:p>
    <w:p w:rsidR="003346EE" w:rsidRDefault="003346EE" w:rsidP="008D1910">
      <w:pPr>
        <w:jc w:val="center"/>
        <w:rPr>
          <w:rFonts w:asciiTheme="majorEastAsia" w:eastAsiaTheme="majorEastAsia" w:hAnsiTheme="majorEastAsia" w:hint="eastAsia"/>
          <w:szCs w:val="21"/>
        </w:rPr>
      </w:pPr>
    </w:p>
    <w:p w:rsidR="008D1910" w:rsidRDefault="003346EE" w:rsidP="003346EE">
      <w:pPr>
        <w:rPr>
          <w:rFonts w:asciiTheme="majorEastAsia" w:eastAsiaTheme="majorEastAsia" w:hAnsiTheme="majorEastAsia"/>
          <w:szCs w:val="21"/>
        </w:rPr>
      </w:pPr>
      <w:r>
        <w:rPr>
          <w:rFonts w:asciiTheme="majorEastAsia" w:eastAsiaTheme="majorEastAsia" w:hAnsiTheme="majorEastAsia" w:hint="eastAsia"/>
          <w:szCs w:val="21"/>
        </w:rPr>
        <w:t xml:space="preserve">１　</w:t>
      </w:r>
      <w:r w:rsidR="0021224B">
        <w:rPr>
          <w:rFonts w:asciiTheme="majorEastAsia" w:eastAsiaTheme="majorEastAsia" w:hAnsiTheme="majorEastAsia" w:hint="eastAsia"/>
          <w:szCs w:val="21"/>
        </w:rPr>
        <w:t>相談、紛争の防止・解決の体制整備の具体的方策に関して</w:t>
      </w:r>
    </w:p>
    <w:p w:rsidR="008D1910" w:rsidRDefault="008D1910" w:rsidP="008D1910">
      <w:pPr>
        <w:rPr>
          <w:rFonts w:asciiTheme="majorEastAsia" w:eastAsiaTheme="majorEastAsia" w:hAnsiTheme="majorEastAsia"/>
          <w:szCs w:val="21"/>
        </w:rPr>
      </w:pPr>
    </w:p>
    <w:p w:rsidR="009357ED" w:rsidRDefault="0021224B" w:rsidP="008D1910">
      <w:pPr>
        <w:rPr>
          <w:rFonts w:asciiTheme="majorEastAsia" w:eastAsiaTheme="majorEastAsia" w:hAnsiTheme="majorEastAsia"/>
          <w:szCs w:val="21"/>
        </w:rPr>
      </w:pPr>
      <w:r>
        <w:rPr>
          <w:rFonts w:asciiTheme="majorEastAsia" w:eastAsiaTheme="majorEastAsia" w:hAnsiTheme="majorEastAsia" w:hint="eastAsia"/>
          <w:szCs w:val="21"/>
        </w:rPr>
        <w:t>障害者差別解消法</w:t>
      </w:r>
    </w:p>
    <w:p w:rsidR="0021224B" w:rsidRPr="0021224B" w:rsidRDefault="0021224B" w:rsidP="0021224B">
      <w:pPr>
        <w:rPr>
          <w:rFonts w:asciiTheme="minorEastAsia" w:hAnsiTheme="minorEastAsia"/>
          <w:szCs w:val="21"/>
        </w:rPr>
      </w:pPr>
      <w:r w:rsidRPr="0021224B">
        <w:rPr>
          <w:rFonts w:asciiTheme="minorEastAsia" w:hAnsiTheme="minorEastAsia"/>
          <w:szCs w:val="21"/>
        </w:rPr>
        <w:t>（相談及び紛争の防止等のための体制の整備）</w:t>
      </w:r>
    </w:p>
    <w:p w:rsidR="0021224B" w:rsidRPr="0021224B" w:rsidRDefault="0021224B" w:rsidP="0021224B">
      <w:pPr>
        <w:rPr>
          <w:rFonts w:asciiTheme="minorEastAsia" w:hAnsiTheme="minorEastAsia"/>
          <w:szCs w:val="21"/>
        </w:rPr>
      </w:pPr>
      <w:r w:rsidRPr="0021224B">
        <w:rPr>
          <w:rFonts w:asciiTheme="minorEastAsia" w:hAnsiTheme="minorEastAsia"/>
          <w:szCs w:val="21"/>
        </w:rPr>
        <w:t>第十四条　国及び地方公共団体は、障害者及びその家族その他の関係者からの障害を理由とする差別に関する相談に的確に応ずるとともに、障害を理由とする差別に関する紛争の防止又は解決を図ることができるよう必要な体制の整備を図るものとする。</w:t>
      </w:r>
    </w:p>
    <w:p w:rsidR="0021224B" w:rsidRPr="0021224B" w:rsidRDefault="0021224B" w:rsidP="0021224B">
      <w:pPr>
        <w:rPr>
          <w:rFonts w:asciiTheme="minorEastAsia" w:hAnsiTheme="minorEastAsia"/>
          <w:szCs w:val="21"/>
        </w:rPr>
      </w:pPr>
      <w:r w:rsidRPr="0021224B">
        <w:rPr>
          <w:rFonts w:asciiTheme="minorEastAsia" w:hAnsiTheme="minorEastAsia"/>
          <w:szCs w:val="21"/>
        </w:rPr>
        <w:t>（障害者差別解消支援地域協議会）</w:t>
      </w:r>
    </w:p>
    <w:p w:rsidR="0021224B" w:rsidRPr="0021224B" w:rsidRDefault="0021224B" w:rsidP="0021224B">
      <w:pPr>
        <w:rPr>
          <w:rFonts w:asciiTheme="minorEastAsia" w:hAnsiTheme="minorEastAsia"/>
          <w:szCs w:val="21"/>
        </w:rPr>
      </w:pPr>
      <w:r w:rsidRPr="0021224B">
        <w:rPr>
          <w:rFonts w:asciiTheme="minorEastAsia" w:hAnsiTheme="minorEastAsia"/>
          <w:szCs w:val="21"/>
        </w:rPr>
        <w:t>第十七条　国及び地方公共団体の機関であって、医療、介護、教育その他の障害者の自立と社会参加に関連する分野の事務に従事するもの（以下この項及び次条第二項において「関係機関」という。）は、当該地方公共団体の区域において関係機関が行う障害を理由とする差別に関する相談及び当該相談に係る事例を踏まえた障害を理由とする差別を解消するための取組を効果的かつ円滑に行うため、関係機関により構成される障害者差別解消支援地域協議会（以下「協議会」という。）を組織することができる。</w:t>
      </w:r>
    </w:p>
    <w:p w:rsidR="0021224B" w:rsidRPr="0021224B" w:rsidRDefault="0021224B" w:rsidP="0021224B">
      <w:pPr>
        <w:rPr>
          <w:rFonts w:asciiTheme="minorEastAsia" w:hAnsiTheme="minorEastAsia"/>
          <w:szCs w:val="21"/>
        </w:rPr>
      </w:pPr>
      <w:r w:rsidRPr="0021224B">
        <w:rPr>
          <w:rFonts w:asciiTheme="minorEastAsia" w:hAnsiTheme="minorEastAsia"/>
          <w:szCs w:val="21"/>
        </w:rPr>
        <w:t>２　前項の規定により協議会を組織する国及び地方公共団体の機関は、必要があると認めるときは、協議会に次に掲げる者を構成員として加えることができる。</w:t>
      </w:r>
    </w:p>
    <w:p w:rsidR="0021224B" w:rsidRPr="0021224B" w:rsidRDefault="0021224B" w:rsidP="0021224B">
      <w:pPr>
        <w:rPr>
          <w:rFonts w:asciiTheme="minorEastAsia" w:hAnsiTheme="minorEastAsia"/>
          <w:szCs w:val="21"/>
        </w:rPr>
      </w:pPr>
      <w:r w:rsidRPr="0021224B">
        <w:rPr>
          <w:rFonts w:asciiTheme="minorEastAsia" w:hAnsiTheme="minorEastAsia"/>
          <w:szCs w:val="21"/>
        </w:rPr>
        <w:t>一　特定非営利活動促進法（平成十年法律第七号）第二条第二項に規定する特定非営利活動法人その他の団体</w:t>
      </w:r>
    </w:p>
    <w:p w:rsidR="0021224B" w:rsidRPr="0021224B" w:rsidRDefault="0021224B" w:rsidP="0021224B">
      <w:pPr>
        <w:rPr>
          <w:rFonts w:asciiTheme="minorEastAsia" w:hAnsiTheme="minorEastAsia"/>
          <w:szCs w:val="21"/>
        </w:rPr>
      </w:pPr>
      <w:r w:rsidRPr="0021224B">
        <w:rPr>
          <w:rFonts w:asciiTheme="minorEastAsia" w:hAnsiTheme="minorEastAsia"/>
          <w:szCs w:val="21"/>
        </w:rPr>
        <w:t>二　学識経験者</w:t>
      </w:r>
    </w:p>
    <w:p w:rsidR="0021224B" w:rsidRPr="0021224B" w:rsidRDefault="0021224B" w:rsidP="0021224B">
      <w:pPr>
        <w:rPr>
          <w:rFonts w:asciiTheme="minorEastAsia" w:hAnsiTheme="minorEastAsia"/>
          <w:szCs w:val="21"/>
        </w:rPr>
      </w:pPr>
      <w:r w:rsidRPr="0021224B">
        <w:rPr>
          <w:rFonts w:asciiTheme="minorEastAsia" w:hAnsiTheme="minorEastAsia"/>
          <w:szCs w:val="21"/>
        </w:rPr>
        <w:t>三　その他当該国及び地方公共団体の機関が必要と認める者</w:t>
      </w:r>
    </w:p>
    <w:p w:rsidR="0021224B" w:rsidRPr="0021224B" w:rsidRDefault="0021224B" w:rsidP="0021224B">
      <w:pPr>
        <w:rPr>
          <w:rFonts w:asciiTheme="minorEastAsia" w:hAnsiTheme="minorEastAsia"/>
          <w:szCs w:val="21"/>
        </w:rPr>
      </w:pPr>
      <w:r w:rsidRPr="0021224B">
        <w:rPr>
          <w:rFonts w:asciiTheme="minorEastAsia" w:hAnsiTheme="minorEastAsia"/>
          <w:szCs w:val="21"/>
        </w:rPr>
        <w:t>（協議会の事務等）</w:t>
      </w:r>
    </w:p>
    <w:p w:rsidR="0021224B" w:rsidRPr="0021224B" w:rsidRDefault="0021224B" w:rsidP="0021224B">
      <w:pPr>
        <w:rPr>
          <w:rFonts w:asciiTheme="minorEastAsia" w:hAnsiTheme="minorEastAsia"/>
          <w:szCs w:val="21"/>
        </w:rPr>
      </w:pPr>
      <w:r w:rsidRPr="0021224B">
        <w:rPr>
          <w:rFonts w:asciiTheme="minorEastAsia" w:hAnsiTheme="minorEastAsia"/>
          <w:szCs w:val="21"/>
        </w:rPr>
        <w:t>第十八条　協議会は、前条第一項の目的を達するため、必要な情報を交換するとともに、障害者からの相談及び当該相談に係る事例を踏まえた障害を理由とする差別を解消するための取組に関する協議を行うものとする。</w:t>
      </w:r>
    </w:p>
    <w:p w:rsidR="0021224B" w:rsidRPr="0021224B" w:rsidRDefault="0021224B" w:rsidP="0021224B">
      <w:pPr>
        <w:rPr>
          <w:rFonts w:asciiTheme="minorEastAsia" w:hAnsiTheme="minorEastAsia"/>
          <w:szCs w:val="21"/>
        </w:rPr>
      </w:pPr>
      <w:r w:rsidRPr="0021224B">
        <w:rPr>
          <w:rFonts w:asciiTheme="minorEastAsia" w:hAnsiTheme="minorEastAsia"/>
          <w:szCs w:val="21"/>
        </w:rPr>
        <w:t>２　関係機関及び前条第二項の構成員（次項において「構成機関等」という。）は、前項の協議の結果に基づき、当該相談に係る事例を踏まえた障害を理由とする差別を解消するための取組を行うものとする。</w:t>
      </w:r>
    </w:p>
    <w:p w:rsidR="0021224B" w:rsidRPr="0021224B" w:rsidRDefault="0021224B" w:rsidP="0021224B">
      <w:pPr>
        <w:rPr>
          <w:rFonts w:asciiTheme="minorEastAsia" w:hAnsiTheme="minorEastAsia"/>
          <w:szCs w:val="21"/>
        </w:rPr>
      </w:pPr>
      <w:r w:rsidRPr="0021224B">
        <w:rPr>
          <w:rFonts w:asciiTheme="minorEastAsia" w:hAnsiTheme="minorEastAsia"/>
          <w:szCs w:val="21"/>
        </w:rPr>
        <w:t>３　協議会は、第一項に規定する情報の交換及び協議を行うため必要があると認めるとき、又は構成機関等が行う相談及び当該相談に係る事例を踏まえた障害を理由とする差別を解消するための取組に関し他の構成機関等から要請があった場合において必要があると認めるときは、構成機関等に対し、相談を行った障害者及び差別に係る事案に関する情報の提供、意見の表明その他の必要な協力を求めることができる。</w:t>
      </w:r>
    </w:p>
    <w:p w:rsidR="0021224B" w:rsidRPr="0021224B" w:rsidRDefault="0021224B" w:rsidP="0021224B">
      <w:pPr>
        <w:rPr>
          <w:rFonts w:asciiTheme="minorEastAsia" w:hAnsiTheme="minorEastAsia"/>
          <w:szCs w:val="21"/>
        </w:rPr>
      </w:pPr>
      <w:r w:rsidRPr="0021224B">
        <w:rPr>
          <w:rFonts w:asciiTheme="minorEastAsia" w:hAnsiTheme="minorEastAsia"/>
          <w:szCs w:val="21"/>
        </w:rPr>
        <w:t>４　協議会の庶務は、協議会を構成する地方公共団体において処理する。</w:t>
      </w:r>
    </w:p>
    <w:p w:rsidR="0021224B" w:rsidRPr="0021224B" w:rsidRDefault="0021224B" w:rsidP="0021224B">
      <w:pPr>
        <w:rPr>
          <w:rFonts w:asciiTheme="minorEastAsia" w:hAnsiTheme="minorEastAsia"/>
          <w:szCs w:val="21"/>
        </w:rPr>
      </w:pPr>
      <w:r w:rsidRPr="0021224B">
        <w:rPr>
          <w:rFonts w:asciiTheme="minorEastAsia" w:hAnsiTheme="minorEastAsia"/>
          <w:szCs w:val="21"/>
        </w:rPr>
        <w:t>５　協議会が組織されたときは、当該地方公共団体は、内閣府令で定めるところにより、</w:t>
      </w:r>
      <w:r w:rsidRPr="0021224B">
        <w:rPr>
          <w:rFonts w:asciiTheme="minorEastAsia" w:hAnsiTheme="minorEastAsia"/>
          <w:szCs w:val="21"/>
        </w:rPr>
        <w:lastRenderedPageBreak/>
        <w:t>その旨を公表しなければならない。</w:t>
      </w:r>
    </w:p>
    <w:p w:rsidR="0021224B" w:rsidRDefault="0021224B" w:rsidP="008D1910">
      <w:pPr>
        <w:rPr>
          <w:rFonts w:asciiTheme="majorEastAsia" w:eastAsiaTheme="majorEastAsia" w:hAnsiTheme="majorEastAsia"/>
          <w:szCs w:val="21"/>
        </w:rPr>
      </w:pPr>
    </w:p>
    <w:p w:rsidR="0021224B" w:rsidRPr="0021224B" w:rsidRDefault="0021224B" w:rsidP="0021224B">
      <w:pPr>
        <w:rPr>
          <w:rFonts w:asciiTheme="majorEastAsia" w:eastAsiaTheme="majorEastAsia" w:hAnsiTheme="majorEastAsia"/>
          <w:szCs w:val="21"/>
        </w:rPr>
      </w:pPr>
      <w:r w:rsidRPr="0021224B">
        <w:rPr>
          <w:rFonts w:asciiTheme="majorEastAsia" w:eastAsiaTheme="majorEastAsia" w:hAnsiTheme="majorEastAsia"/>
          <w:szCs w:val="21"/>
        </w:rPr>
        <w:t>障害を理由とする差別の解消の推進に関する基本方針</w:t>
      </w:r>
    </w:p>
    <w:p w:rsidR="0021224B" w:rsidRPr="0021224B" w:rsidRDefault="0021224B" w:rsidP="0021224B">
      <w:pPr>
        <w:rPr>
          <w:rFonts w:asciiTheme="minorEastAsia" w:hAnsiTheme="minorEastAsia"/>
          <w:szCs w:val="21"/>
        </w:rPr>
      </w:pPr>
      <w:r w:rsidRPr="0021224B">
        <w:rPr>
          <w:rFonts w:asciiTheme="minorEastAsia" w:hAnsiTheme="minorEastAsia"/>
          <w:szCs w:val="21"/>
        </w:rPr>
        <w:t>第５　その他障害を理由とする差別の解消の推進に関する施策に関する重要事項</w:t>
      </w:r>
    </w:p>
    <w:p w:rsidR="0021224B" w:rsidRPr="0021224B" w:rsidRDefault="0021224B" w:rsidP="0021224B">
      <w:pPr>
        <w:rPr>
          <w:rFonts w:asciiTheme="minorEastAsia" w:hAnsiTheme="minorEastAsia"/>
          <w:szCs w:val="21"/>
        </w:rPr>
      </w:pPr>
      <w:r w:rsidRPr="0021224B">
        <w:rPr>
          <w:rFonts w:asciiTheme="minorEastAsia" w:hAnsiTheme="minorEastAsia"/>
          <w:szCs w:val="21"/>
        </w:rPr>
        <w:t>２　相談及び紛争の防止等のための体制の整備</w:t>
      </w:r>
    </w:p>
    <w:p w:rsidR="0021224B" w:rsidRPr="0021224B" w:rsidRDefault="0021224B" w:rsidP="0021224B">
      <w:pPr>
        <w:rPr>
          <w:rFonts w:asciiTheme="minorEastAsia" w:hAnsiTheme="minorEastAsia"/>
          <w:szCs w:val="21"/>
        </w:rPr>
      </w:pPr>
      <w:r w:rsidRPr="0021224B">
        <w:rPr>
          <w:rFonts w:asciiTheme="minorEastAsia" w:hAnsiTheme="minorEastAsia"/>
          <w:szCs w:val="21"/>
        </w:rPr>
        <w:t xml:space="preserve">　障害者差別の解消を効果的に推進するには、障害者及びその家族その他の関係者からの相談等に的確に応じることが必要であり、相談等に対応する際には、障害者の性別、年齢、状態等に配慮することが重要である。法は、新たな機関は設置せず、既存の機関等の活用・充実を図ることとしており、国及び地方公共団体においては、相談窓口を明確にするとともに、相談や紛争解決などに対応する職員の業務の明確化・専門性の向上などを図ることにより、障害者差別の解消の推進に資する体制を整備するものとする。内閣府においては、相談及び紛争の防止等に関する機関の情報について収集・整理し、ホームページへの掲載等により情報提供を行うものとする。</w:t>
      </w:r>
    </w:p>
    <w:p w:rsidR="0021224B" w:rsidRPr="0021224B" w:rsidRDefault="0021224B" w:rsidP="0021224B">
      <w:pPr>
        <w:rPr>
          <w:rFonts w:asciiTheme="minorEastAsia" w:hAnsiTheme="minorEastAsia"/>
          <w:szCs w:val="21"/>
        </w:rPr>
      </w:pPr>
      <w:r w:rsidRPr="0021224B">
        <w:rPr>
          <w:rFonts w:asciiTheme="minorEastAsia" w:hAnsiTheme="minorEastAsia"/>
          <w:szCs w:val="21"/>
        </w:rPr>
        <w:t>４　障害者差別解消支援地域協議会</w:t>
      </w:r>
    </w:p>
    <w:p w:rsidR="0021224B" w:rsidRPr="0021224B" w:rsidRDefault="0021224B" w:rsidP="0021224B">
      <w:pPr>
        <w:rPr>
          <w:rFonts w:asciiTheme="minorEastAsia" w:hAnsiTheme="minorEastAsia"/>
          <w:szCs w:val="21"/>
        </w:rPr>
      </w:pPr>
      <w:r w:rsidRPr="0021224B">
        <w:rPr>
          <w:rFonts w:asciiTheme="minorEastAsia" w:hAnsiTheme="minorEastAsia"/>
          <w:szCs w:val="21"/>
        </w:rPr>
        <w:t>（１）趣旨</w:t>
      </w:r>
    </w:p>
    <w:p w:rsidR="0021224B" w:rsidRPr="0021224B" w:rsidRDefault="0021224B" w:rsidP="0021224B">
      <w:pPr>
        <w:rPr>
          <w:rFonts w:asciiTheme="minorEastAsia" w:hAnsiTheme="minorEastAsia"/>
          <w:szCs w:val="21"/>
        </w:rPr>
      </w:pPr>
      <w:r w:rsidRPr="0021224B">
        <w:rPr>
          <w:rFonts w:asciiTheme="minorEastAsia" w:hAnsiTheme="minorEastAsia"/>
          <w:szCs w:val="21"/>
        </w:rPr>
        <w:t xml:space="preserve">　障害者差別の解消を効果的に推進するには、障害者にとって身近な地域において、主体的な取組がなされることが重要である。地域において日常生活、社会生活を営む障害者の活動は広範多岐にわたり、相談等を行うに当たっては、どの機関がどのような権限を有しているかは必ずしも明らかではない場合があり、また、相談等を受ける機関においても、相談内容によっては当該機関だけでは対応できない場合がある。このため、地域における様々な関係機関が、相談事例等に係る情報の共有・協議を通じて、各自の役割に応じた事案解決のための取組や類似事案の発生防止の取組など、地域の実情に応じた差別の解消のための取組を主体的に行うネットワークとして、障害者差別解消支援地域協議会（以下「協議会」という。）を組織することができることとされている。協議会については、障害者及びその家族の参画について配慮するとともに、性別・年齢、障害種別を考慮して組織することが望ましい。内閣府においては、法施行後における協議会の設置状況等について公表するものとする。</w:t>
      </w:r>
    </w:p>
    <w:p w:rsidR="0021224B" w:rsidRPr="0021224B" w:rsidRDefault="0021224B" w:rsidP="0021224B">
      <w:pPr>
        <w:rPr>
          <w:rFonts w:asciiTheme="minorEastAsia" w:hAnsiTheme="minorEastAsia"/>
          <w:szCs w:val="21"/>
        </w:rPr>
      </w:pPr>
      <w:r w:rsidRPr="0021224B">
        <w:rPr>
          <w:rFonts w:asciiTheme="minorEastAsia" w:hAnsiTheme="minorEastAsia"/>
          <w:szCs w:val="21"/>
        </w:rPr>
        <w:t>（２）期待される役割</w:t>
      </w:r>
    </w:p>
    <w:p w:rsidR="0021224B" w:rsidRPr="0021224B" w:rsidRDefault="0021224B" w:rsidP="0021224B">
      <w:pPr>
        <w:rPr>
          <w:rFonts w:asciiTheme="minorEastAsia" w:hAnsiTheme="minorEastAsia"/>
          <w:szCs w:val="21"/>
        </w:rPr>
      </w:pPr>
      <w:r w:rsidRPr="0021224B">
        <w:rPr>
          <w:rFonts w:asciiTheme="minorEastAsia" w:hAnsiTheme="minorEastAsia"/>
          <w:szCs w:val="21"/>
        </w:rPr>
        <w:t xml:space="preserve">　協議会に期待される役割としては、関係機関から提供された相談事例等について、適切な相談窓口を有する機関の紹介、具体的事案の対応例の共有・協議、協議会の構成機関等における調停、斡旋等の様々な取組による紛争解決、複数の機関で紛争解決等に対応することへの後押し等が考えられる。</w:t>
      </w:r>
    </w:p>
    <w:p w:rsidR="0021224B" w:rsidRPr="0021224B" w:rsidRDefault="0021224B" w:rsidP="0021224B">
      <w:pPr>
        <w:rPr>
          <w:rFonts w:asciiTheme="minorEastAsia" w:hAnsiTheme="minorEastAsia"/>
          <w:szCs w:val="21"/>
        </w:rPr>
      </w:pPr>
      <w:r w:rsidRPr="0021224B">
        <w:rPr>
          <w:rFonts w:asciiTheme="minorEastAsia" w:hAnsiTheme="minorEastAsia"/>
          <w:szCs w:val="21"/>
        </w:rPr>
        <w:t xml:space="preserve">　なお、都道府県において組織される協議会においては、紛争解決等に向けた取組について、市町村において組織される協議会を補完・支援する役割が期待される。また、関係機関において紛争解決に至った事例、合理的配慮の具体例、相談事案から合理的配慮</w:t>
      </w:r>
    </w:p>
    <w:p w:rsidR="0021224B" w:rsidRPr="0021224B" w:rsidRDefault="0021224B" w:rsidP="0021224B">
      <w:pPr>
        <w:rPr>
          <w:rFonts w:asciiTheme="minorEastAsia" w:hAnsiTheme="minorEastAsia"/>
          <w:szCs w:val="21"/>
        </w:rPr>
      </w:pPr>
      <w:r w:rsidRPr="0021224B">
        <w:rPr>
          <w:rFonts w:asciiTheme="minorEastAsia" w:hAnsiTheme="minorEastAsia"/>
          <w:szCs w:val="21"/>
        </w:rPr>
        <w:t>に係る環境の整備を行うに至った事例などの共有・分析を通じて、構成機関等における業</w:t>
      </w:r>
      <w:r w:rsidRPr="0021224B">
        <w:rPr>
          <w:rFonts w:asciiTheme="minorEastAsia" w:hAnsiTheme="minorEastAsia"/>
          <w:szCs w:val="21"/>
        </w:rPr>
        <w:lastRenderedPageBreak/>
        <w:t>務改善、事案の発生防止のための取組、周知・啓発活動に係る協議等を行うことが期待される。</w:t>
      </w:r>
    </w:p>
    <w:p w:rsidR="003346EE" w:rsidRDefault="003346EE" w:rsidP="003346EE">
      <w:pPr>
        <w:rPr>
          <w:rFonts w:asciiTheme="majorEastAsia" w:eastAsiaTheme="majorEastAsia" w:hAnsiTheme="majorEastAsia" w:hint="eastAsia"/>
          <w:szCs w:val="21"/>
        </w:rPr>
      </w:pPr>
    </w:p>
    <w:p w:rsidR="0021224B" w:rsidRDefault="003346EE" w:rsidP="003346EE">
      <w:pPr>
        <w:rPr>
          <w:rFonts w:asciiTheme="majorEastAsia" w:eastAsiaTheme="majorEastAsia" w:hAnsiTheme="majorEastAsia"/>
          <w:szCs w:val="21"/>
        </w:rPr>
      </w:pPr>
      <w:r>
        <w:rPr>
          <w:rFonts w:asciiTheme="majorEastAsia" w:eastAsiaTheme="majorEastAsia" w:hAnsiTheme="majorEastAsia" w:hint="eastAsia"/>
          <w:szCs w:val="21"/>
        </w:rPr>
        <w:t xml:space="preserve">２　</w:t>
      </w:r>
      <w:bookmarkStart w:id="0" w:name="_GoBack"/>
      <w:bookmarkEnd w:id="0"/>
      <w:r w:rsidR="0021224B">
        <w:rPr>
          <w:rFonts w:asciiTheme="majorEastAsia" w:eastAsiaTheme="majorEastAsia" w:hAnsiTheme="majorEastAsia" w:hint="eastAsia"/>
          <w:szCs w:val="21"/>
        </w:rPr>
        <w:t>実効性の確保のための措置の必要性に関して</w:t>
      </w:r>
    </w:p>
    <w:p w:rsidR="0021224B" w:rsidRDefault="0021224B" w:rsidP="008D1910">
      <w:pPr>
        <w:rPr>
          <w:rFonts w:asciiTheme="majorEastAsia" w:eastAsiaTheme="majorEastAsia" w:hAnsiTheme="majorEastAsia"/>
          <w:szCs w:val="21"/>
        </w:rPr>
      </w:pPr>
    </w:p>
    <w:p w:rsidR="0021224B" w:rsidRDefault="0021224B" w:rsidP="008D1910">
      <w:pPr>
        <w:rPr>
          <w:rFonts w:asciiTheme="majorEastAsia" w:eastAsiaTheme="majorEastAsia" w:hAnsiTheme="majorEastAsia"/>
          <w:szCs w:val="21"/>
        </w:rPr>
      </w:pPr>
      <w:r>
        <w:rPr>
          <w:rFonts w:asciiTheme="majorEastAsia" w:eastAsiaTheme="majorEastAsia" w:hAnsiTheme="majorEastAsia" w:hint="eastAsia"/>
          <w:szCs w:val="21"/>
        </w:rPr>
        <w:t>障害者差別解消法</w:t>
      </w:r>
    </w:p>
    <w:p w:rsidR="0021224B" w:rsidRPr="0021224B" w:rsidRDefault="0021224B" w:rsidP="0021224B">
      <w:pPr>
        <w:rPr>
          <w:rFonts w:asciiTheme="minorEastAsia" w:hAnsiTheme="minorEastAsia"/>
          <w:szCs w:val="21"/>
        </w:rPr>
      </w:pPr>
      <w:r w:rsidRPr="0021224B">
        <w:rPr>
          <w:rFonts w:asciiTheme="minorEastAsia" w:hAnsiTheme="minorEastAsia"/>
          <w:szCs w:val="21"/>
        </w:rPr>
        <w:t>第八条　事業者は、その事業を行うに当たり、障害を理由として障害者でない者と不当な差別的取扱いをすることにより、障害者の権利利益を侵害してはならない。</w:t>
      </w:r>
    </w:p>
    <w:p w:rsidR="0021224B" w:rsidRPr="0021224B" w:rsidRDefault="0021224B" w:rsidP="0021224B">
      <w:pPr>
        <w:rPr>
          <w:rFonts w:asciiTheme="minorEastAsia" w:hAnsiTheme="minorEastAsia"/>
          <w:szCs w:val="21"/>
        </w:rPr>
      </w:pPr>
      <w:r w:rsidRPr="0021224B">
        <w:rPr>
          <w:rFonts w:asciiTheme="minorEastAsia" w:hAnsiTheme="minorEastAsia"/>
          <w:szCs w:val="21"/>
        </w:rPr>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w:t>
      </w:r>
    </w:p>
    <w:p w:rsidR="0021224B" w:rsidRPr="0021224B" w:rsidRDefault="0021224B" w:rsidP="0021224B">
      <w:pPr>
        <w:rPr>
          <w:rFonts w:asciiTheme="minorEastAsia" w:hAnsiTheme="minorEastAsia"/>
          <w:szCs w:val="21"/>
        </w:rPr>
      </w:pPr>
      <w:r w:rsidRPr="0021224B">
        <w:rPr>
          <w:rFonts w:asciiTheme="minorEastAsia" w:hAnsiTheme="minorEastAsia"/>
          <w:szCs w:val="21"/>
        </w:rPr>
        <w:t>（報告の徴収並びに助言、指導及び勧告）</w:t>
      </w:r>
    </w:p>
    <w:p w:rsidR="0021224B" w:rsidRPr="0021224B" w:rsidRDefault="0021224B" w:rsidP="0021224B">
      <w:pPr>
        <w:rPr>
          <w:rFonts w:asciiTheme="minorEastAsia" w:hAnsiTheme="minorEastAsia"/>
          <w:szCs w:val="21"/>
        </w:rPr>
      </w:pPr>
      <w:r w:rsidRPr="0021224B">
        <w:rPr>
          <w:rFonts w:asciiTheme="minorEastAsia" w:hAnsiTheme="minorEastAsia"/>
          <w:szCs w:val="21"/>
        </w:rPr>
        <w:t>第十二条　主務大臣は、第八条の規定の施行に関し、特に必要があると認めるときは、対応指針に定める事項について、当該事業者に対し、報告を求め、又は助言、指導若しくは勧告をすることができる。</w:t>
      </w:r>
    </w:p>
    <w:p w:rsidR="0021224B" w:rsidRPr="0021224B" w:rsidRDefault="0021224B" w:rsidP="0021224B">
      <w:pPr>
        <w:rPr>
          <w:rFonts w:asciiTheme="minorEastAsia" w:hAnsiTheme="minorEastAsia"/>
          <w:szCs w:val="21"/>
        </w:rPr>
      </w:pPr>
      <w:r w:rsidRPr="0021224B">
        <w:rPr>
          <w:rFonts w:asciiTheme="minorEastAsia" w:hAnsiTheme="minorEastAsia"/>
          <w:szCs w:val="21"/>
        </w:rPr>
        <w:t>（地方公共団体が処理する事務）</w:t>
      </w:r>
    </w:p>
    <w:p w:rsidR="0021224B" w:rsidRPr="0021224B" w:rsidRDefault="0021224B" w:rsidP="0021224B">
      <w:pPr>
        <w:rPr>
          <w:rFonts w:asciiTheme="minorEastAsia" w:hAnsiTheme="minorEastAsia"/>
          <w:szCs w:val="21"/>
        </w:rPr>
      </w:pPr>
      <w:r w:rsidRPr="0021224B">
        <w:rPr>
          <w:rFonts w:asciiTheme="minorEastAsia" w:hAnsiTheme="minorEastAsia"/>
          <w:szCs w:val="21"/>
        </w:rPr>
        <w:t>第二十二条　第十二条に規定する主務大臣の権限に属する事務は、政令で定めるところにより、地方公共団体の長その他の執行機関が行うこととすることができる。</w:t>
      </w:r>
    </w:p>
    <w:p w:rsidR="0021224B" w:rsidRPr="0021224B" w:rsidRDefault="0021224B" w:rsidP="0021224B">
      <w:pPr>
        <w:rPr>
          <w:rFonts w:asciiTheme="minorEastAsia" w:hAnsiTheme="minorEastAsia"/>
          <w:szCs w:val="21"/>
        </w:rPr>
      </w:pPr>
      <w:r w:rsidRPr="0021224B">
        <w:rPr>
          <w:rFonts w:asciiTheme="minorEastAsia" w:hAnsiTheme="minorEastAsia"/>
          <w:szCs w:val="21"/>
        </w:rPr>
        <w:t>第二十六条　第十二条の規定による報告をせず、又は虚偽の報告をした者は、二十万円以下の過料に処する。</w:t>
      </w:r>
    </w:p>
    <w:p w:rsidR="0021224B" w:rsidRDefault="0021224B" w:rsidP="008D1910">
      <w:pPr>
        <w:rPr>
          <w:rFonts w:asciiTheme="minorEastAsia" w:hAnsiTheme="minorEastAsia"/>
          <w:szCs w:val="21"/>
        </w:rPr>
      </w:pPr>
    </w:p>
    <w:p w:rsidR="008044F0" w:rsidRPr="0021224B" w:rsidRDefault="008044F0" w:rsidP="008044F0">
      <w:pPr>
        <w:rPr>
          <w:rFonts w:asciiTheme="majorEastAsia" w:eastAsiaTheme="majorEastAsia" w:hAnsiTheme="majorEastAsia"/>
          <w:szCs w:val="21"/>
        </w:rPr>
      </w:pPr>
      <w:r w:rsidRPr="0021224B">
        <w:rPr>
          <w:rFonts w:asciiTheme="majorEastAsia" w:eastAsiaTheme="majorEastAsia" w:hAnsiTheme="majorEastAsia"/>
          <w:szCs w:val="21"/>
        </w:rPr>
        <w:t>障害を理由とする差別の解消の推進に関する基本方針</w:t>
      </w:r>
    </w:p>
    <w:p w:rsidR="008044F0" w:rsidRPr="008044F0" w:rsidRDefault="008044F0" w:rsidP="008044F0">
      <w:pPr>
        <w:rPr>
          <w:rFonts w:asciiTheme="minorEastAsia" w:hAnsiTheme="minorEastAsia"/>
          <w:szCs w:val="21"/>
        </w:rPr>
      </w:pPr>
      <w:r w:rsidRPr="008044F0">
        <w:rPr>
          <w:rFonts w:asciiTheme="minorEastAsia" w:hAnsiTheme="minorEastAsia"/>
          <w:szCs w:val="21"/>
        </w:rPr>
        <w:t>第４　事業者が講ずべき障害を理由とする差別を解消するための措置に関する基本的な事項</w:t>
      </w:r>
    </w:p>
    <w:p w:rsidR="008044F0" w:rsidRPr="008044F0" w:rsidRDefault="008044F0" w:rsidP="008044F0">
      <w:pPr>
        <w:rPr>
          <w:rFonts w:asciiTheme="minorEastAsia" w:hAnsiTheme="minorEastAsia"/>
          <w:szCs w:val="21"/>
        </w:rPr>
      </w:pPr>
      <w:r w:rsidRPr="008044F0">
        <w:rPr>
          <w:rFonts w:asciiTheme="minorEastAsia" w:hAnsiTheme="minorEastAsia"/>
          <w:szCs w:val="21"/>
        </w:rPr>
        <w:t>３　主務大臣による行政措置</w:t>
      </w:r>
    </w:p>
    <w:p w:rsidR="008044F0" w:rsidRPr="008044F0" w:rsidRDefault="008044F0" w:rsidP="008044F0">
      <w:pPr>
        <w:rPr>
          <w:rFonts w:asciiTheme="minorEastAsia" w:hAnsiTheme="minorEastAsia"/>
          <w:szCs w:val="21"/>
        </w:rPr>
      </w:pPr>
      <w:r w:rsidRPr="008044F0">
        <w:rPr>
          <w:rFonts w:asciiTheme="minorEastAsia" w:hAnsiTheme="minorEastAsia"/>
          <w:szCs w:val="21"/>
        </w:rPr>
        <w:t xml:space="preserve">　事業者における障害者差別解消に向けた取組は、主務大臣の定める対応指針を参考にして、各事業者により自主的に取組が行われることが期待される。しかしながら、事業者による自主的な取組のみによっては、その適切な履行が確保されず、例えば、事業者が法に反した取扱いを繰り返し、自主的な改善を期待することが困難である場合など、主務大臣は、特に必要があると認められるときは、事業者に対し、報告を求め、又は助言、指導若しくは勧告をすることができることとされている。</w:t>
      </w:r>
    </w:p>
    <w:p w:rsidR="0021224B" w:rsidRPr="008044F0" w:rsidRDefault="008044F0" w:rsidP="008D1910">
      <w:pPr>
        <w:rPr>
          <w:rFonts w:asciiTheme="minorEastAsia" w:hAnsiTheme="minorEastAsia"/>
          <w:szCs w:val="21"/>
        </w:rPr>
      </w:pPr>
      <w:r w:rsidRPr="008044F0">
        <w:rPr>
          <w:rFonts w:asciiTheme="minorEastAsia" w:hAnsiTheme="minorEastAsia"/>
          <w:szCs w:val="21"/>
        </w:rPr>
        <w:t xml:space="preserve">　こうした行政措置に至る事案を未然に防止するため、主務大臣は、事業者に対して、対応指針に係る十分な情報提供を行うとともに、事業者からの照会・相談に丁寧に対応するなどの取組を積極的に行うものとする。また、主務大臣による行政措置に当たっては、事</w:t>
      </w:r>
      <w:r w:rsidRPr="008044F0">
        <w:rPr>
          <w:rFonts w:asciiTheme="minorEastAsia" w:hAnsiTheme="minorEastAsia"/>
          <w:szCs w:val="21"/>
        </w:rPr>
        <w:lastRenderedPageBreak/>
        <w:t>業者における自主的な取組を尊重する法の趣旨に沿って、まず、報告徴収、助言、指導により改善を促すことを基本とする必要がある。主務大臣が事業者に対して行った助言、指導及び勧告については、取りまとめて、毎年国会に報告するものとする。</w:t>
      </w:r>
    </w:p>
    <w:sectPr w:rsidR="0021224B" w:rsidRPr="008044F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94" w:rsidRDefault="00011B94" w:rsidP="00464AED">
      <w:r>
        <w:separator/>
      </w:r>
    </w:p>
  </w:endnote>
  <w:endnote w:type="continuationSeparator" w:id="0">
    <w:p w:rsidR="00011B94" w:rsidRDefault="00011B94" w:rsidP="0046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661997"/>
      <w:docPartObj>
        <w:docPartGallery w:val="Page Numbers (Bottom of Page)"/>
        <w:docPartUnique/>
      </w:docPartObj>
    </w:sdtPr>
    <w:sdtEndPr/>
    <w:sdtContent>
      <w:p w:rsidR="00DC6D54" w:rsidRDefault="00DC6D54">
        <w:pPr>
          <w:pStyle w:val="a7"/>
          <w:jc w:val="center"/>
        </w:pPr>
        <w:r>
          <w:fldChar w:fldCharType="begin"/>
        </w:r>
        <w:r>
          <w:instrText>PAGE   \* MERGEFORMAT</w:instrText>
        </w:r>
        <w:r>
          <w:fldChar w:fldCharType="separate"/>
        </w:r>
        <w:r w:rsidR="003346EE" w:rsidRPr="003346EE">
          <w:rPr>
            <w:noProof/>
            <w:lang w:val="ja-JP"/>
          </w:rPr>
          <w:t>3</w:t>
        </w:r>
        <w:r>
          <w:fldChar w:fldCharType="end"/>
        </w:r>
      </w:p>
    </w:sdtContent>
  </w:sdt>
  <w:p w:rsidR="00DC6D54" w:rsidRDefault="00DC6D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94" w:rsidRDefault="00011B94" w:rsidP="00464AED">
      <w:r>
        <w:separator/>
      </w:r>
    </w:p>
  </w:footnote>
  <w:footnote w:type="continuationSeparator" w:id="0">
    <w:p w:rsidR="00011B94" w:rsidRDefault="00011B94" w:rsidP="00464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BD3"/>
    <w:multiLevelType w:val="hybridMultilevel"/>
    <w:tmpl w:val="3B103852"/>
    <w:lvl w:ilvl="0" w:tplc="FAD8D24A">
      <w:start w:val="6"/>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3C5171"/>
    <w:multiLevelType w:val="hybridMultilevel"/>
    <w:tmpl w:val="23640E40"/>
    <w:lvl w:ilvl="0" w:tplc="CE144FAC">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
    <w:nsid w:val="26060053"/>
    <w:multiLevelType w:val="hybridMultilevel"/>
    <w:tmpl w:val="38BAA0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D2E6CC4"/>
    <w:multiLevelType w:val="hybridMultilevel"/>
    <w:tmpl w:val="B77CC9A6"/>
    <w:lvl w:ilvl="0" w:tplc="856E33E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0C10D57"/>
    <w:multiLevelType w:val="hybridMultilevel"/>
    <w:tmpl w:val="A70280D0"/>
    <w:lvl w:ilvl="0" w:tplc="9432A7E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319047F"/>
    <w:multiLevelType w:val="hybridMultilevel"/>
    <w:tmpl w:val="4B6CDFB2"/>
    <w:lvl w:ilvl="0" w:tplc="EE3AB5CC">
      <w:start w:val="5"/>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3957E20"/>
    <w:multiLevelType w:val="hybridMultilevel"/>
    <w:tmpl w:val="D7C4F5BC"/>
    <w:lvl w:ilvl="0" w:tplc="EE3AB5C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DD80CFF"/>
    <w:multiLevelType w:val="hybridMultilevel"/>
    <w:tmpl w:val="BC48B64E"/>
    <w:lvl w:ilvl="0" w:tplc="419A3C9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7"/>
  </w:num>
  <w:num w:numId="4">
    <w:abstractNumId w:val="4"/>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55"/>
    <w:rsid w:val="0000223E"/>
    <w:rsid w:val="00011B94"/>
    <w:rsid w:val="00017AC9"/>
    <w:rsid w:val="00060D6A"/>
    <w:rsid w:val="000C069F"/>
    <w:rsid w:val="000C5ECC"/>
    <w:rsid w:val="000D0909"/>
    <w:rsid w:val="001048BC"/>
    <w:rsid w:val="0013179C"/>
    <w:rsid w:val="0013729E"/>
    <w:rsid w:val="00145957"/>
    <w:rsid w:val="001557CC"/>
    <w:rsid w:val="00181610"/>
    <w:rsid w:val="00192F2D"/>
    <w:rsid w:val="001C291A"/>
    <w:rsid w:val="001C3C96"/>
    <w:rsid w:val="001D3E12"/>
    <w:rsid w:val="001E4957"/>
    <w:rsid w:val="0021224B"/>
    <w:rsid w:val="0021340E"/>
    <w:rsid w:val="002B700E"/>
    <w:rsid w:val="002C0ECF"/>
    <w:rsid w:val="002D1DFD"/>
    <w:rsid w:val="003346EE"/>
    <w:rsid w:val="00335B89"/>
    <w:rsid w:val="003440C3"/>
    <w:rsid w:val="003523A2"/>
    <w:rsid w:val="003B0255"/>
    <w:rsid w:val="003F42BE"/>
    <w:rsid w:val="003F4669"/>
    <w:rsid w:val="00464AED"/>
    <w:rsid w:val="004E2E7A"/>
    <w:rsid w:val="00543056"/>
    <w:rsid w:val="005628E0"/>
    <w:rsid w:val="005D5FE7"/>
    <w:rsid w:val="00634A70"/>
    <w:rsid w:val="00637E58"/>
    <w:rsid w:val="00653A8A"/>
    <w:rsid w:val="006A36D0"/>
    <w:rsid w:val="006C39C4"/>
    <w:rsid w:val="00703F3A"/>
    <w:rsid w:val="00735300"/>
    <w:rsid w:val="007426DC"/>
    <w:rsid w:val="00760048"/>
    <w:rsid w:val="00770E6E"/>
    <w:rsid w:val="007936D8"/>
    <w:rsid w:val="007C3F2F"/>
    <w:rsid w:val="007D697C"/>
    <w:rsid w:val="007D709E"/>
    <w:rsid w:val="007F7424"/>
    <w:rsid w:val="00800AA6"/>
    <w:rsid w:val="008044F0"/>
    <w:rsid w:val="008D1910"/>
    <w:rsid w:val="009357ED"/>
    <w:rsid w:val="00947652"/>
    <w:rsid w:val="00986A78"/>
    <w:rsid w:val="009A4F30"/>
    <w:rsid w:val="009F7205"/>
    <w:rsid w:val="00A1234C"/>
    <w:rsid w:val="00AC564E"/>
    <w:rsid w:val="00B46E39"/>
    <w:rsid w:val="00B568A9"/>
    <w:rsid w:val="00C70687"/>
    <w:rsid w:val="00C7702A"/>
    <w:rsid w:val="00C80E75"/>
    <w:rsid w:val="00CB2540"/>
    <w:rsid w:val="00CB61B1"/>
    <w:rsid w:val="00CC15FE"/>
    <w:rsid w:val="00CC1A5E"/>
    <w:rsid w:val="00CC721D"/>
    <w:rsid w:val="00D076A9"/>
    <w:rsid w:val="00D22D8C"/>
    <w:rsid w:val="00D34CE0"/>
    <w:rsid w:val="00D54E7E"/>
    <w:rsid w:val="00D66A2F"/>
    <w:rsid w:val="00DC6D54"/>
    <w:rsid w:val="00DD5941"/>
    <w:rsid w:val="00DE7A4D"/>
    <w:rsid w:val="00DF326E"/>
    <w:rsid w:val="00E40846"/>
    <w:rsid w:val="00E46F20"/>
    <w:rsid w:val="00E5099A"/>
    <w:rsid w:val="00E52F12"/>
    <w:rsid w:val="00E54F1C"/>
    <w:rsid w:val="00E62834"/>
    <w:rsid w:val="00EE1145"/>
    <w:rsid w:val="00F5420E"/>
    <w:rsid w:val="00F81752"/>
    <w:rsid w:val="00FA6FD0"/>
    <w:rsid w:val="00FC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2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2BE"/>
    <w:rPr>
      <w:rFonts w:asciiTheme="majorHAnsi" w:eastAsiaTheme="majorEastAsia" w:hAnsiTheme="majorHAnsi" w:cstheme="majorBidi"/>
      <w:sz w:val="18"/>
      <w:szCs w:val="18"/>
    </w:rPr>
  </w:style>
  <w:style w:type="paragraph" w:styleId="a5">
    <w:name w:val="header"/>
    <w:basedOn w:val="a"/>
    <w:link w:val="a6"/>
    <w:uiPriority w:val="99"/>
    <w:unhideWhenUsed/>
    <w:rsid w:val="00464AED"/>
    <w:pPr>
      <w:tabs>
        <w:tab w:val="center" w:pos="4252"/>
        <w:tab w:val="right" w:pos="8504"/>
      </w:tabs>
      <w:snapToGrid w:val="0"/>
    </w:pPr>
  </w:style>
  <w:style w:type="character" w:customStyle="1" w:styleId="a6">
    <w:name w:val="ヘッダー (文字)"/>
    <w:basedOn w:val="a0"/>
    <w:link w:val="a5"/>
    <w:uiPriority w:val="99"/>
    <w:rsid w:val="00464AED"/>
  </w:style>
  <w:style w:type="paragraph" w:styleId="a7">
    <w:name w:val="footer"/>
    <w:basedOn w:val="a"/>
    <w:link w:val="a8"/>
    <w:uiPriority w:val="99"/>
    <w:unhideWhenUsed/>
    <w:rsid w:val="00464AED"/>
    <w:pPr>
      <w:tabs>
        <w:tab w:val="center" w:pos="4252"/>
        <w:tab w:val="right" w:pos="8504"/>
      </w:tabs>
      <w:snapToGrid w:val="0"/>
    </w:pPr>
  </w:style>
  <w:style w:type="character" w:customStyle="1" w:styleId="a8">
    <w:name w:val="フッター (文字)"/>
    <w:basedOn w:val="a0"/>
    <w:link w:val="a7"/>
    <w:uiPriority w:val="99"/>
    <w:rsid w:val="00464AED"/>
  </w:style>
  <w:style w:type="table" w:styleId="a9">
    <w:name w:val="Table Grid"/>
    <w:basedOn w:val="a1"/>
    <w:uiPriority w:val="59"/>
    <w:rsid w:val="0079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60048"/>
  </w:style>
  <w:style w:type="character" w:customStyle="1" w:styleId="ab">
    <w:name w:val="日付 (文字)"/>
    <w:basedOn w:val="a0"/>
    <w:link w:val="aa"/>
    <w:uiPriority w:val="99"/>
    <w:semiHidden/>
    <w:rsid w:val="00760048"/>
  </w:style>
  <w:style w:type="paragraph" w:styleId="ac">
    <w:name w:val="List Paragraph"/>
    <w:basedOn w:val="a"/>
    <w:uiPriority w:val="34"/>
    <w:qFormat/>
    <w:rsid w:val="00192F2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2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2BE"/>
    <w:rPr>
      <w:rFonts w:asciiTheme="majorHAnsi" w:eastAsiaTheme="majorEastAsia" w:hAnsiTheme="majorHAnsi" w:cstheme="majorBidi"/>
      <w:sz w:val="18"/>
      <w:szCs w:val="18"/>
    </w:rPr>
  </w:style>
  <w:style w:type="paragraph" w:styleId="a5">
    <w:name w:val="header"/>
    <w:basedOn w:val="a"/>
    <w:link w:val="a6"/>
    <w:uiPriority w:val="99"/>
    <w:unhideWhenUsed/>
    <w:rsid w:val="00464AED"/>
    <w:pPr>
      <w:tabs>
        <w:tab w:val="center" w:pos="4252"/>
        <w:tab w:val="right" w:pos="8504"/>
      </w:tabs>
      <w:snapToGrid w:val="0"/>
    </w:pPr>
  </w:style>
  <w:style w:type="character" w:customStyle="1" w:styleId="a6">
    <w:name w:val="ヘッダー (文字)"/>
    <w:basedOn w:val="a0"/>
    <w:link w:val="a5"/>
    <w:uiPriority w:val="99"/>
    <w:rsid w:val="00464AED"/>
  </w:style>
  <w:style w:type="paragraph" w:styleId="a7">
    <w:name w:val="footer"/>
    <w:basedOn w:val="a"/>
    <w:link w:val="a8"/>
    <w:uiPriority w:val="99"/>
    <w:unhideWhenUsed/>
    <w:rsid w:val="00464AED"/>
    <w:pPr>
      <w:tabs>
        <w:tab w:val="center" w:pos="4252"/>
        <w:tab w:val="right" w:pos="8504"/>
      </w:tabs>
      <w:snapToGrid w:val="0"/>
    </w:pPr>
  </w:style>
  <w:style w:type="character" w:customStyle="1" w:styleId="a8">
    <w:name w:val="フッター (文字)"/>
    <w:basedOn w:val="a0"/>
    <w:link w:val="a7"/>
    <w:uiPriority w:val="99"/>
    <w:rsid w:val="00464AED"/>
  </w:style>
  <w:style w:type="table" w:styleId="a9">
    <w:name w:val="Table Grid"/>
    <w:basedOn w:val="a1"/>
    <w:uiPriority w:val="59"/>
    <w:rsid w:val="0079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60048"/>
  </w:style>
  <w:style w:type="character" w:customStyle="1" w:styleId="ab">
    <w:name w:val="日付 (文字)"/>
    <w:basedOn w:val="a0"/>
    <w:link w:val="aa"/>
    <w:uiPriority w:val="99"/>
    <w:semiHidden/>
    <w:rsid w:val="00760048"/>
  </w:style>
  <w:style w:type="paragraph" w:styleId="ac">
    <w:name w:val="List Paragraph"/>
    <w:basedOn w:val="a"/>
    <w:uiPriority w:val="34"/>
    <w:qFormat/>
    <w:rsid w:val="00192F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8850">
      <w:bodyDiv w:val="1"/>
      <w:marLeft w:val="0"/>
      <w:marRight w:val="0"/>
      <w:marTop w:val="0"/>
      <w:marBottom w:val="0"/>
      <w:divBdr>
        <w:top w:val="none" w:sz="0" w:space="0" w:color="auto"/>
        <w:left w:val="none" w:sz="0" w:space="0" w:color="auto"/>
        <w:bottom w:val="none" w:sz="0" w:space="0" w:color="auto"/>
        <w:right w:val="none" w:sz="0" w:space="0" w:color="auto"/>
      </w:divBdr>
    </w:div>
    <w:div w:id="255604133">
      <w:bodyDiv w:val="1"/>
      <w:marLeft w:val="0"/>
      <w:marRight w:val="0"/>
      <w:marTop w:val="0"/>
      <w:marBottom w:val="0"/>
      <w:divBdr>
        <w:top w:val="none" w:sz="0" w:space="0" w:color="auto"/>
        <w:left w:val="none" w:sz="0" w:space="0" w:color="auto"/>
        <w:bottom w:val="none" w:sz="0" w:space="0" w:color="auto"/>
        <w:right w:val="none" w:sz="0" w:space="0" w:color="auto"/>
      </w:divBdr>
    </w:div>
    <w:div w:id="259603439">
      <w:bodyDiv w:val="1"/>
      <w:marLeft w:val="0"/>
      <w:marRight w:val="0"/>
      <w:marTop w:val="0"/>
      <w:marBottom w:val="0"/>
      <w:divBdr>
        <w:top w:val="none" w:sz="0" w:space="0" w:color="auto"/>
        <w:left w:val="none" w:sz="0" w:space="0" w:color="auto"/>
        <w:bottom w:val="none" w:sz="0" w:space="0" w:color="auto"/>
        <w:right w:val="none" w:sz="0" w:space="0" w:color="auto"/>
      </w:divBdr>
    </w:div>
    <w:div w:id="364452262">
      <w:bodyDiv w:val="1"/>
      <w:marLeft w:val="0"/>
      <w:marRight w:val="0"/>
      <w:marTop w:val="0"/>
      <w:marBottom w:val="0"/>
      <w:divBdr>
        <w:top w:val="none" w:sz="0" w:space="0" w:color="auto"/>
        <w:left w:val="none" w:sz="0" w:space="0" w:color="auto"/>
        <w:bottom w:val="none" w:sz="0" w:space="0" w:color="auto"/>
        <w:right w:val="none" w:sz="0" w:space="0" w:color="auto"/>
      </w:divBdr>
    </w:div>
    <w:div w:id="370151739">
      <w:bodyDiv w:val="1"/>
      <w:marLeft w:val="0"/>
      <w:marRight w:val="0"/>
      <w:marTop w:val="0"/>
      <w:marBottom w:val="0"/>
      <w:divBdr>
        <w:top w:val="none" w:sz="0" w:space="0" w:color="auto"/>
        <w:left w:val="none" w:sz="0" w:space="0" w:color="auto"/>
        <w:bottom w:val="none" w:sz="0" w:space="0" w:color="auto"/>
        <w:right w:val="none" w:sz="0" w:space="0" w:color="auto"/>
      </w:divBdr>
    </w:div>
    <w:div w:id="640768307">
      <w:bodyDiv w:val="1"/>
      <w:marLeft w:val="0"/>
      <w:marRight w:val="0"/>
      <w:marTop w:val="0"/>
      <w:marBottom w:val="0"/>
      <w:divBdr>
        <w:top w:val="none" w:sz="0" w:space="0" w:color="auto"/>
        <w:left w:val="none" w:sz="0" w:space="0" w:color="auto"/>
        <w:bottom w:val="none" w:sz="0" w:space="0" w:color="auto"/>
        <w:right w:val="none" w:sz="0" w:space="0" w:color="auto"/>
      </w:divBdr>
    </w:div>
    <w:div w:id="662707040">
      <w:bodyDiv w:val="1"/>
      <w:marLeft w:val="0"/>
      <w:marRight w:val="0"/>
      <w:marTop w:val="0"/>
      <w:marBottom w:val="0"/>
      <w:divBdr>
        <w:top w:val="none" w:sz="0" w:space="0" w:color="auto"/>
        <w:left w:val="none" w:sz="0" w:space="0" w:color="auto"/>
        <w:bottom w:val="none" w:sz="0" w:space="0" w:color="auto"/>
        <w:right w:val="none" w:sz="0" w:space="0" w:color="auto"/>
      </w:divBdr>
    </w:div>
    <w:div w:id="684287586">
      <w:bodyDiv w:val="1"/>
      <w:marLeft w:val="0"/>
      <w:marRight w:val="0"/>
      <w:marTop w:val="0"/>
      <w:marBottom w:val="0"/>
      <w:divBdr>
        <w:top w:val="none" w:sz="0" w:space="0" w:color="auto"/>
        <w:left w:val="none" w:sz="0" w:space="0" w:color="auto"/>
        <w:bottom w:val="none" w:sz="0" w:space="0" w:color="auto"/>
        <w:right w:val="none" w:sz="0" w:space="0" w:color="auto"/>
      </w:divBdr>
    </w:div>
    <w:div w:id="914049794">
      <w:bodyDiv w:val="1"/>
      <w:marLeft w:val="0"/>
      <w:marRight w:val="0"/>
      <w:marTop w:val="0"/>
      <w:marBottom w:val="0"/>
      <w:divBdr>
        <w:top w:val="none" w:sz="0" w:space="0" w:color="auto"/>
        <w:left w:val="none" w:sz="0" w:space="0" w:color="auto"/>
        <w:bottom w:val="none" w:sz="0" w:space="0" w:color="auto"/>
        <w:right w:val="none" w:sz="0" w:space="0" w:color="auto"/>
      </w:divBdr>
    </w:div>
    <w:div w:id="920333898">
      <w:bodyDiv w:val="1"/>
      <w:marLeft w:val="0"/>
      <w:marRight w:val="0"/>
      <w:marTop w:val="0"/>
      <w:marBottom w:val="0"/>
      <w:divBdr>
        <w:top w:val="none" w:sz="0" w:space="0" w:color="auto"/>
        <w:left w:val="none" w:sz="0" w:space="0" w:color="auto"/>
        <w:bottom w:val="none" w:sz="0" w:space="0" w:color="auto"/>
        <w:right w:val="none" w:sz="0" w:space="0" w:color="auto"/>
      </w:divBdr>
    </w:div>
    <w:div w:id="951131028">
      <w:bodyDiv w:val="1"/>
      <w:marLeft w:val="0"/>
      <w:marRight w:val="0"/>
      <w:marTop w:val="0"/>
      <w:marBottom w:val="0"/>
      <w:divBdr>
        <w:top w:val="none" w:sz="0" w:space="0" w:color="auto"/>
        <w:left w:val="none" w:sz="0" w:space="0" w:color="auto"/>
        <w:bottom w:val="none" w:sz="0" w:space="0" w:color="auto"/>
        <w:right w:val="none" w:sz="0" w:space="0" w:color="auto"/>
      </w:divBdr>
    </w:div>
    <w:div w:id="1013650550">
      <w:bodyDiv w:val="1"/>
      <w:marLeft w:val="0"/>
      <w:marRight w:val="0"/>
      <w:marTop w:val="0"/>
      <w:marBottom w:val="0"/>
      <w:divBdr>
        <w:top w:val="none" w:sz="0" w:space="0" w:color="auto"/>
        <w:left w:val="none" w:sz="0" w:space="0" w:color="auto"/>
        <w:bottom w:val="none" w:sz="0" w:space="0" w:color="auto"/>
        <w:right w:val="none" w:sz="0" w:space="0" w:color="auto"/>
      </w:divBdr>
    </w:div>
    <w:div w:id="1118838241">
      <w:bodyDiv w:val="1"/>
      <w:marLeft w:val="0"/>
      <w:marRight w:val="0"/>
      <w:marTop w:val="0"/>
      <w:marBottom w:val="0"/>
      <w:divBdr>
        <w:top w:val="none" w:sz="0" w:space="0" w:color="auto"/>
        <w:left w:val="none" w:sz="0" w:space="0" w:color="auto"/>
        <w:bottom w:val="none" w:sz="0" w:space="0" w:color="auto"/>
        <w:right w:val="none" w:sz="0" w:space="0" w:color="auto"/>
      </w:divBdr>
    </w:div>
    <w:div w:id="1134106799">
      <w:bodyDiv w:val="1"/>
      <w:marLeft w:val="0"/>
      <w:marRight w:val="0"/>
      <w:marTop w:val="0"/>
      <w:marBottom w:val="0"/>
      <w:divBdr>
        <w:top w:val="none" w:sz="0" w:space="0" w:color="auto"/>
        <w:left w:val="none" w:sz="0" w:space="0" w:color="auto"/>
        <w:bottom w:val="none" w:sz="0" w:space="0" w:color="auto"/>
        <w:right w:val="none" w:sz="0" w:space="0" w:color="auto"/>
      </w:divBdr>
    </w:div>
    <w:div w:id="1227909861">
      <w:bodyDiv w:val="1"/>
      <w:marLeft w:val="0"/>
      <w:marRight w:val="0"/>
      <w:marTop w:val="0"/>
      <w:marBottom w:val="0"/>
      <w:divBdr>
        <w:top w:val="none" w:sz="0" w:space="0" w:color="auto"/>
        <w:left w:val="none" w:sz="0" w:space="0" w:color="auto"/>
        <w:bottom w:val="none" w:sz="0" w:space="0" w:color="auto"/>
        <w:right w:val="none" w:sz="0" w:space="0" w:color="auto"/>
      </w:divBdr>
    </w:div>
    <w:div w:id="1279290500">
      <w:bodyDiv w:val="1"/>
      <w:marLeft w:val="0"/>
      <w:marRight w:val="0"/>
      <w:marTop w:val="0"/>
      <w:marBottom w:val="0"/>
      <w:divBdr>
        <w:top w:val="none" w:sz="0" w:space="0" w:color="auto"/>
        <w:left w:val="none" w:sz="0" w:space="0" w:color="auto"/>
        <w:bottom w:val="none" w:sz="0" w:space="0" w:color="auto"/>
        <w:right w:val="none" w:sz="0" w:space="0" w:color="auto"/>
      </w:divBdr>
    </w:div>
    <w:div w:id="1544293622">
      <w:bodyDiv w:val="1"/>
      <w:marLeft w:val="0"/>
      <w:marRight w:val="0"/>
      <w:marTop w:val="0"/>
      <w:marBottom w:val="0"/>
      <w:divBdr>
        <w:top w:val="none" w:sz="0" w:space="0" w:color="auto"/>
        <w:left w:val="none" w:sz="0" w:space="0" w:color="auto"/>
        <w:bottom w:val="none" w:sz="0" w:space="0" w:color="auto"/>
        <w:right w:val="none" w:sz="0" w:space="0" w:color="auto"/>
      </w:divBdr>
    </w:div>
    <w:div w:id="1746297396">
      <w:bodyDiv w:val="1"/>
      <w:marLeft w:val="0"/>
      <w:marRight w:val="0"/>
      <w:marTop w:val="0"/>
      <w:marBottom w:val="0"/>
      <w:divBdr>
        <w:top w:val="none" w:sz="0" w:space="0" w:color="auto"/>
        <w:left w:val="none" w:sz="0" w:space="0" w:color="auto"/>
        <w:bottom w:val="none" w:sz="0" w:space="0" w:color="auto"/>
        <w:right w:val="none" w:sz="0" w:space="0" w:color="auto"/>
      </w:divBdr>
    </w:div>
    <w:div w:id="1787695352">
      <w:bodyDiv w:val="1"/>
      <w:marLeft w:val="0"/>
      <w:marRight w:val="0"/>
      <w:marTop w:val="0"/>
      <w:marBottom w:val="0"/>
      <w:divBdr>
        <w:top w:val="none" w:sz="0" w:space="0" w:color="auto"/>
        <w:left w:val="none" w:sz="0" w:space="0" w:color="auto"/>
        <w:bottom w:val="none" w:sz="0" w:space="0" w:color="auto"/>
        <w:right w:val="none" w:sz="0" w:space="0" w:color="auto"/>
      </w:divBdr>
    </w:div>
    <w:div w:id="1797721140">
      <w:bodyDiv w:val="1"/>
      <w:marLeft w:val="0"/>
      <w:marRight w:val="0"/>
      <w:marTop w:val="0"/>
      <w:marBottom w:val="0"/>
      <w:divBdr>
        <w:top w:val="none" w:sz="0" w:space="0" w:color="auto"/>
        <w:left w:val="none" w:sz="0" w:space="0" w:color="auto"/>
        <w:bottom w:val="none" w:sz="0" w:space="0" w:color="auto"/>
        <w:right w:val="none" w:sz="0" w:space="0" w:color="auto"/>
      </w:divBdr>
    </w:div>
    <w:div w:id="1807117209">
      <w:bodyDiv w:val="1"/>
      <w:marLeft w:val="0"/>
      <w:marRight w:val="0"/>
      <w:marTop w:val="0"/>
      <w:marBottom w:val="0"/>
      <w:divBdr>
        <w:top w:val="none" w:sz="0" w:space="0" w:color="auto"/>
        <w:left w:val="none" w:sz="0" w:space="0" w:color="auto"/>
        <w:bottom w:val="none" w:sz="0" w:space="0" w:color="auto"/>
        <w:right w:val="none" w:sz="0" w:space="0" w:color="auto"/>
      </w:divBdr>
    </w:div>
    <w:div w:id="1819877337">
      <w:bodyDiv w:val="1"/>
      <w:marLeft w:val="0"/>
      <w:marRight w:val="0"/>
      <w:marTop w:val="0"/>
      <w:marBottom w:val="0"/>
      <w:divBdr>
        <w:top w:val="none" w:sz="0" w:space="0" w:color="auto"/>
        <w:left w:val="none" w:sz="0" w:space="0" w:color="auto"/>
        <w:bottom w:val="none" w:sz="0" w:space="0" w:color="auto"/>
        <w:right w:val="none" w:sz="0" w:space="0" w:color="auto"/>
      </w:divBdr>
    </w:div>
    <w:div w:id="1910991531">
      <w:bodyDiv w:val="1"/>
      <w:marLeft w:val="0"/>
      <w:marRight w:val="0"/>
      <w:marTop w:val="0"/>
      <w:marBottom w:val="0"/>
      <w:divBdr>
        <w:top w:val="none" w:sz="0" w:space="0" w:color="auto"/>
        <w:left w:val="none" w:sz="0" w:space="0" w:color="auto"/>
        <w:bottom w:val="none" w:sz="0" w:space="0" w:color="auto"/>
        <w:right w:val="none" w:sz="0" w:space="0" w:color="auto"/>
      </w:divBdr>
    </w:div>
    <w:div w:id="1917857836">
      <w:bodyDiv w:val="1"/>
      <w:marLeft w:val="0"/>
      <w:marRight w:val="0"/>
      <w:marTop w:val="0"/>
      <w:marBottom w:val="0"/>
      <w:divBdr>
        <w:top w:val="none" w:sz="0" w:space="0" w:color="auto"/>
        <w:left w:val="none" w:sz="0" w:space="0" w:color="auto"/>
        <w:bottom w:val="none" w:sz="0" w:space="0" w:color="auto"/>
        <w:right w:val="none" w:sz="0" w:space="0" w:color="auto"/>
      </w:divBdr>
    </w:div>
    <w:div w:id="2030174672">
      <w:bodyDiv w:val="1"/>
      <w:marLeft w:val="0"/>
      <w:marRight w:val="0"/>
      <w:marTop w:val="0"/>
      <w:marBottom w:val="0"/>
      <w:divBdr>
        <w:top w:val="none" w:sz="0" w:space="0" w:color="auto"/>
        <w:left w:val="none" w:sz="0" w:space="0" w:color="auto"/>
        <w:bottom w:val="none" w:sz="0" w:space="0" w:color="auto"/>
        <w:right w:val="none" w:sz="0" w:space="0" w:color="auto"/>
      </w:divBdr>
    </w:div>
    <w:div w:id="209087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776</TotalTime>
  <Pages>4</Pages>
  <Words>503</Words>
  <Characters>2872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HOSTNAME</cp:lastModifiedBy>
  <cp:revision>38</cp:revision>
  <cp:lastPrinted>2015-06-12T04:48:00Z</cp:lastPrinted>
  <dcterms:created xsi:type="dcterms:W3CDTF">2014-09-17T09:10:00Z</dcterms:created>
  <dcterms:modified xsi:type="dcterms:W3CDTF">2015-06-12T04:48:00Z</dcterms:modified>
</cp:coreProperties>
</file>