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FC" w:rsidRDefault="00B96252" w:rsidP="008D4FAF">
      <w:pPr>
        <w:rPr>
          <w:rFonts w:asciiTheme="majorEastAsia" w:eastAsiaTheme="majorEastAsia" w:hAnsiTheme="majorEastAsia"/>
        </w:rPr>
      </w:pPr>
      <w:r w:rsidRPr="00B96252">
        <w:rPr>
          <w:rFonts w:asciiTheme="majorEastAsia" w:eastAsiaTheme="majorEastAsia" w:hAnsiTheme="majorEastAsia" w:hint="eastAsia"/>
          <w:bdr w:val="single" w:sz="4" w:space="0" w:color="auto"/>
        </w:rPr>
        <w:t>参考１－１</w:t>
      </w:r>
      <w:r>
        <w:rPr>
          <w:rFonts w:asciiTheme="majorEastAsia" w:eastAsiaTheme="majorEastAsia" w:hAnsiTheme="majorEastAsia" w:hint="eastAsia"/>
        </w:rPr>
        <w:t>（</w:t>
      </w:r>
      <w:r w:rsidR="002D6D6B">
        <w:rPr>
          <w:rFonts w:asciiTheme="majorEastAsia" w:eastAsiaTheme="majorEastAsia" w:hAnsiTheme="majorEastAsia" w:hint="eastAsia"/>
        </w:rPr>
        <w:t>国の資料より</w:t>
      </w:r>
      <w:r w:rsidR="008D4FAF" w:rsidRPr="008D4FAF">
        <w:rPr>
          <w:rFonts w:asciiTheme="majorEastAsia" w:eastAsiaTheme="majorEastAsia" w:hAnsiTheme="majorEastAsia" w:hint="eastAsia"/>
        </w:rPr>
        <w:t>）</w:t>
      </w:r>
    </w:p>
    <w:p w:rsidR="008D4FAF" w:rsidRPr="008D4FAF" w:rsidRDefault="008D4FAF" w:rsidP="00B96252">
      <w:pPr>
        <w:rPr>
          <w:rFonts w:asciiTheme="majorEastAsia" w:eastAsiaTheme="majorEastAsia" w:hAnsiTheme="majorEastAsia"/>
        </w:rPr>
      </w:pPr>
      <w:bookmarkStart w:id="0" w:name="_GoBack"/>
      <w:bookmarkEnd w:id="0"/>
      <w:r w:rsidRPr="008D4FAF">
        <w:rPr>
          <w:rFonts w:asciiTheme="majorEastAsia" w:eastAsiaTheme="majorEastAsia" w:hAnsiTheme="majorEastAsia"/>
        </w:rPr>
        <w:t>障害者の雇用の促進等に関する法律の一部を改正する法律の概要</w:t>
      </w:r>
    </w:p>
    <w:p w:rsidR="008D4FAF" w:rsidRPr="002D6D6B" w:rsidRDefault="008D4FAF" w:rsidP="008D4FAF"/>
    <w:p w:rsidR="008D4FAF" w:rsidRDefault="008D4FAF" w:rsidP="002D6D6B">
      <w:pPr>
        <w:ind w:firstLineChars="100" w:firstLine="210"/>
      </w:pPr>
      <w:r w:rsidRPr="008D4FAF">
        <w:t>雇用の分野における障害者に対する差別の禁止及び障害者が職場で働くに当たっての支障を改善するための措置（合理的配慮の提供義務）を定めるとともに、障害者の雇用に関する状況に鑑み、精神障害者を法定雇用率の算定基礎に加える等の措置を講ずる。</w:t>
      </w:r>
    </w:p>
    <w:p w:rsidR="008D4FAF" w:rsidRPr="008D4FAF" w:rsidRDefault="008D4FAF" w:rsidP="008D4FAF"/>
    <w:p w:rsidR="008D4FAF" w:rsidRPr="002D6D6B" w:rsidRDefault="008D4FAF" w:rsidP="008D4FAF">
      <w:pPr>
        <w:rPr>
          <w:rFonts w:asciiTheme="majorEastAsia" w:eastAsiaTheme="majorEastAsia" w:hAnsiTheme="majorEastAsia"/>
        </w:rPr>
      </w:pPr>
      <w:r w:rsidRPr="008D4FAF">
        <w:t xml:space="preserve"> </w:t>
      </w:r>
      <w:r w:rsidRPr="002D6D6B">
        <w:rPr>
          <w:rFonts w:asciiTheme="majorEastAsia" w:eastAsiaTheme="majorEastAsia" w:hAnsiTheme="majorEastAsia"/>
        </w:rPr>
        <w:t>１</w:t>
      </w:r>
      <w:r w:rsidRPr="002D6D6B">
        <w:rPr>
          <w:rFonts w:asciiTheme="majorEastAsia" w:eastAsiaTheme="majorEastAsia" w:hAnsiTheme="majorEastAsia" w:hint="eastAsia"/>
        </w:rPr>
        <w:t xml:space="preserve">　</w:t>
      </w:r>
      <w:r w:rsidRPr="002D6D6B">
        <w:rPr>
          <w:rFonts w:asciiTheme="majorEastAsia" w:eastAsiaTheme="majorEastAsia" w:hAnsiTheme="majorEastAsia"/>
        </w:rPr>
        <w:t>障害者の権利に関する条約の批准に向けた対応</w:t>
      </w:r>
    </w:p>
    <w:p w:rsidR="008D4FAF" w:rsidRPr="002D6D6B" w:rsidRDefault="008D4FAF" w:rsidP="002D6D6B">
      <w:pPr>
        <w:ind w:firstLineChars="100" w:firstLine="210"/>
        <w:rPr>
          <w:rFonts w:asciiTheme="majorEastAsia" w:eastAsiaTheme="majorEastAsia" w:hAnsiTheme="majorEastAsia"/>
        </w:rPr>
      </w:pPr>
      <w:r w:rsidRPr="002D6D6B">
        <w:rPr>
          <w:rFonts w:asciiTheme="majorEastAsia" w:eastAsiaTheme="majorEastAsia" w:hAnsiTheme="majorEastAsia"/>
        </w:rPr>
        <w:t>（１）障害者に対する差別の禁止</w:t>
      </w:r>
    </w:p>
    <w:p w:rsidR="008D4FAF" w:rsidRDefault="008D4FAF" w:rsidP="002D6D6B">
      <w:pPr>
        <w:ind w:firstLineChars="500" w:firstLine="1050"/>
      </w:pPr>
      <w:r w:rsidRPr="008D4FAF">
        <w:t>雇用の分野における障害を理由とする差別的取扱いを禁止する。</w:t>
      </w:r>
    </w:p>
    <w:p w:rsidR="008D4FAF" w:rsidRPr="002D6D6B" w:rsidRDefault="008D4FAF" w:rsidP="002D6D6B">
      <w:pPr>
        <w:ind w:firstLineChars="100" w:firstLine="210"/>
        <w:rPr>
          <w:rFonts w:asciiTheme="majorEastAsia" w:eastAsiaTheme="majorEastAsia" w:hAnsiTheme="majorEastAsia"/>
        </w:rPr>
      </w:pPr>
      <w:r w:rsidRPr="002D6D6B">
        <w:rPr>
          <w:rFonts w:asciiTheme="majorEastAsia" w:eastAsiaTheme="majorEastAsia" w:hAnsiTheme="majorEastAsia"/>
        </w:rPr>
        <w:t xml:space="preserve">（２）合理的配慮の提供義務 </w:t>
      </w:r>
    </w:p>
    <w:p w:rsidR="002D6D6B" w:rsidRDefault="008D4FAF" w:rsidP="002D6D6B">
      <w:pPr>
        <w:ind w:leftChars="405" w:left="850" w:firstLineChars="66" w:firstLine="139"/>
      </w:pPr>
      <w:r w:rsidRPr="008D4FAF">
        <w:t>事業主に、障害者が職場で働くに当たっての支障を改善するための措置を講ずることを義務付ける。</w:t>
      </w:r>
    </w:p>
    <w:p w:rsidR="002D6D6B" w:rsidRPr="00022DFC" w:rsidRDefault="008D4FAF" w:rsidP="00022DFC">
      <w:pPr>
        <w:ind w:leftChars="405" w:left="850" w:firstLineChars="66" w:firstLine="139"/>
      </w:pPr>
      <w:r w:rsidRPr="008D4FAF">
        <w:t>ただし、当該措置が事業主に対して過重な負担を及ぼすこととなる場合を除く。</w:t>
      </w:r>
      <w:r w:rsidRPr="008D4FAF">
        <w:t xml:space="preserve"> </w:t>
      </w:r>
    </w:p>
    <w:p w:rsidR="008D4FAF" w:rsidRDefault="008D4FAF" w:rsidP="002D6D6B">
      <w:pPr>
        <w:ind w:firstLineChars="500" w:firstLine="1050"/>
      </w:pPr>
      <w:r w:rsidRPr="008D4FAF">
        <w:t>（想定される例）</w:t>
      </w:r>
      <w:r w:rsidRPr="008D4FAF">
        <w:t xml:space="preserve"> </w:t>
      </w:r>
    </w:p>
    <w:p w:rsidR="002D6D6B" w:rsidRDefault="008D4FAF" w:rsidP="002D6D6B">
      <w:pPr>
        <w:pStyle w:val="a3"/>
        <w:numPr>
          <w:ilvl w:val="0"/>
          <w:numId w:val="2"/>
        </w:numPr>
        <w:ind w:leftChars="0" w:left="1418" w:hanging="284"/>
      </w:pPr>
      <w:r w:rsidRPr="008D4FAF">
        <w:t>車いすを利用する方に合わせて、机や作業台の高さを調整すること</w:t>
      </w:r>
      <w:r w:rsidRPr="008D4FAF">
        <w:t xml:space="preserve"> </w:t>
      </w:r>
    </w:p>
    <w:p w:rsidR="008D4FAF" w:rsidRDefault="008D4FAF" w:rsidP="002D6D6B">
      <w:pPr>
        <w:pStyle w:val="a3"/>
        <w:numPr>
          <w:ilvl w:val="0"/>
          <w:numId w:val="2"/>
        </w:numPr>
        <w:ind w:leftChars="0" w:left="1418" w:hanging="284"/>
      </w:pPr>
      <w:r w:rsidRPr="008D4FAF">
        <w:t>知的障害を持つ方に合わせて、口頭だけでなく分かりやすい文書・絵図を用いて説明すること</w:t>
      </w:r>
      <w:r w:rsidRPr="008D4FAF">
        <w:t xml:space="preserve"> </w:t>
      </w:r>
    </w:p>
    <w:p w:rsidR="008D4FAF" w:rsidRPr="008D4FAF" w:rsidRDefault="008D4FAF" w:rsidP="008D4FAF">
      <w:pPr>
        <w:ind w:left="1201"/>
      </w:pPr>
    </w:p>
    <w:p w:rsidR="008D4FAF" w:rsidRDefault="002D6D6B" w:rsidP="002D6D6B">
      <w:pPr>
        <w:ind w:leftChars="100" w:left="424" w:hangingChars="102" w:hanging="214"/>
      </w:pPr>
      <w:r>
        <w:rPr>
          <w:rFonts w:hint="eastAsia"/>
        </w:rPr>
        <w:t>→</w:t>
      </w:r>
      <w:r w:rsidR="008D4FAF" w:rsidRPr="008D4FAF">
        <w:rPr>
          <w:rFonts w:hint="eastAsia"/>
        </w:rPr>
        <w:t>（１）（２）については、公労使障の四者で構成される労働政策審議会の意見を聴いて定める「指針」において具体的な事例を示す。</w:t>
      </w:r>
    </w:p>
    <w:p w:rsidR="008D4FAF" w:rsidRPr="008D4FAF" w:rsidRDefault="008D4FAF" w:rsidP="008D4FAF">
      <w:r w:rsidRPr="008D4FAF">
        <w:t xml:space="preserve"> </w:t>
      </w:r>
    </w:p>
    <w:p w:rsidR="008D4FAF" w:rsidRPr="002D6D6B" w:rsidRDefault="008D4FAF" w:rsidP="002D6D6B">
      <w:pPr>
        <w:ind w:firstLineChars="100" w:firstLine="210"/>
        <w:rPr>
          <w:rFonts w:asciiTheme="majorEastAsia" w:eastAsiaTheme="majorEastAsia" w:hAnsiTheme="majorEastAsia"/>
        </w:rPr>
      </w:pPr>
      <w:r w:rsidRPr="002D6D6B">
        <w:rPr>
          <w:rFonts w:asciiTheme="majorEastAsia" w:eastAsiaTheme="majorEastAsia" w:hAnsiTheme="majorEastAsia" w:hint="eastAsia"/>
        </w:rPr>
        <w:t>（３）苦情処理・紛争解決援助</w:t>
      </w:r>
    </w:p>
    <w:p w:rsidR="002D6D6B" w:rsidRDefault="008D4FAF" w:rsidP="002D6D6B">
      <w:pPr>
        <w:pStyle w:val="a3"/>
        <w:numPr>
          <w:ilvl w:val="0"/>
          <w:numId w:val="4"/>
        </w:numPr>
        <w:ind w:leftChars="0" w:left="1560" w:hanging="709"/>
      </w:pPr>
      <w:r w:rsidRPr="008D4FAF">
        <w:rPr>
          <w:rFonts w:hint="eastAsia"/>
        </w:rPr>
        <w:t>事業主に対して、（１）（２）に係るその雇用する障害者からの苦情を自主的に解決することを努力義務化。</w:t>
      </w:r>
    </w:p>
    <w:p w:rsidR="008D4FAF" w:rsidRDefault="008D4FAF" w:rsidP="002D6D6B">
      <w:pPr>
        <w:pStyle w:val="a3"/>
        <w:numPr>
          <w:ilvl w:val="0"/>
          <w:numId w:val="4"/>
        </w:numPr>
        <w:ind w:leftChars="0" w:left="1560" w:hanging="709"/>
      </w:pPr>
      <w:r w:rsidRPr="008D4FAF">
        <w:rPr>
          <w:rFonts w:hint="eastAsia"/>
        </w:rPr>
        <w:t>（１）（２）に係る紛争について、個別労働関係紛争の解決の促進に関する法律の特例（紛争調整委員会による調停や都道府県労働局長による勧告等）を整備。</w:t>
      </w:r>
    </w:p>
    <w:p w:rsidR="008D4FAF" w:rsidRDefault="008D4FAF" w:rsidP="008D4FAF"/>
    <w:p w:rsidR="002D6D6B" w:rsidRPr="002D6D6B" w:rsidRDefault="008D4FAF" w:rsidP="002D6D6B">
      <w:r>
        <w:rPr>
          <w:rFonts w:hint="eastAsia"/>
        </w:rPr>
        <w:t xml:space="preserve">２　</w:t>
      </w:r>
      <w:r w:rsidRPr="008D4FAF">
        <w:t>法定雇用率の算定基礎の見直し</w:t>
      </w:r>
    </w:p>
    <w:p w:rsidR="002D6D6B" w:rsidRDefault="002D6D6B" w:rsidP="002D6D6B">
      <w:pPr>
        <w:ind w:firstLineChars="100" w:firstLine="210"/>
      </w:pPr>
      <w:r w:rsidRPr="002D6D6B">
        <w:t>法定雇用率の算定基礎に精神障害者を加える。ただし、施行（Ｈ</w:t>
      </w:r>
      <w:r w:rsidRPr="002D6D6B">
        <w:t>30</w:t>
      </w:r>
      <w:r w:rsidRPr="002D6D6B">
        <w:rPr>
          <w:rFonts w:hint="eastAsia"/>
        </w:rPr>
        <w:t>）後５年間に限り、精神障害者を法定雇用率の算定基礎に加えることに伴う法定雇用率の引上げ分について、本来の計算式で算定した率よりも低くすることを可能とする。</w:t>
      </w:r>
    </w:p>
    <w:p w:rsidR="002D6D6B" w:rsidRDefault="002D6D6B" w:rsidP="002D6D6B"/>
    <w:p w:rsidR="002D6D6B" w:rsidRPr="002D6D6B" w:rsidRDefault="002D6D6B" w:rsidP="002D6D6B">
      <w:r>
        <w:rPr>
          <w:rFonts w:hint="eastAsia"/>
        </w:rPr>
        <w:t>３　その他</w:t>
      </w:r>
    </w:p>
    <w:p w:rsidR="002D6D6B" w:rsidRDefault="002D6D6B" w:rsidP="002D6D6B">
      <w:pPr>
        <w:ind w:firstLineChars="100" w:firstLine="210"/>
      </w:pPr>
      <w:r w:rsidRPr="002D6D6B">
        <w:t>障害者の範囲の明確化その他の所要の措置を講ずる。</w:t>
      </w:r>
    </w:p>
    <w:p w:rsidR="002D6D6B" w:rsidRPr="002D6D6B" w:rsidRDefault="002D6D6B" w:rsidP="002D6D6B"/>
    <w:p w:rsidR="002D6D6B" w:rsidRDefault="002D6D6B" w:rsidP="002D6D6B">
      <w:pPr>
        <w:pStyle w:val="a3"/>
        <w:numPr>
          <w:ilvl w:val="0"/>
          <w:numId w:val="5"/>
        </w:numPr>
        <w:ind w:leftChars="0"/>
      </w:pPr>
      <w:r w:rsidRPr="002D6D6B">
        <w:t>施行期日：平成２８年４月１日（ただし、２は平成３０年４月１日、</w:t>
      </w:r>
      <w:r w:rsidRPr="002D6D6B">
        <w:t xml:space="preserve"> </w:t>
      </w:r>
      <w:r w:rsidRPr="002D6D6B">
        <w:t>３（障害者の範囲の明確化に限る。）は公布日（平成</w:t>
      </w:r>
      <w:r>
        <w:rPr>
          <w:rFonts w:hint="eastAsia"/>
        </w:rPr>
        <w:t>２５年６</w:t>
      </w:r>
      <w:r w:rsidRPr="002D6D6B">
        <w:rPr>
          <w:rFonts w:hint="eastAsia"/>
        </w:rPr>
        <w:t>月</w:t>
      </w:r>
      <w:r>
        <w:rPr>
          <w:rFonts w:hint="eastAsia"/>
        </w:rPr>
        <w:t>１９</w:t>
      </w:r>
      <w:r w:rsidRPr="002D6D6B">
        <w:rPr>
          <w:rFonts w:hint="eastAsia"/>
        </w:rPr>
        <w:t>日））</w:t>
      </w:r>
    </w:p>
    <w:p w:rsidR="002D6D6B" w:rsidRPr="002D6D6B" w:rsidRDefault="002D6D6B" w:rsidP="002D6D6B">
      <w:pPr>
        <w:jc w:val="center"/>
        <w:rPr>
          <w:rFonts w:asciiTheme="majorEastAsia" w:eastAsiaTheme="majorEastAsia" w:hAnsiTheme="majorEastAsia"/>
        </w:rPr>
      </w:pPr>
      <w:r w:rsidRPr="002D6D6B">
        <w:rPr>
          <w:rFonts w:asciiTheme="majorEastAsia" w:eastAsiaTheme="majorEastAsia" w:hAnsiTheme="majorEastAsia" w:hint="eastAsia"/>
        </w:rPr>
        <w:lastRenderedPageBreak/>
        <w:t>その１　障害者に対する差別の禁止及び合理的配慮の提供義務について</w:t>
      </w:r>
    </w:p>
    <w:p w:rsidR="002D6D6B" w:rsidRDefault="002D6D6B" w:rsidP="002D6D6B"/>
    <w:p w:rsidR="00DB0D49" w:rsidRPr="00393F30" w:rsidRDefault="00393F30" w:rsidP="00393F30">
      <w:pPr>
        <w:ind w:left="141" w:hangingChars="67" w:hanging="141"/>
        <w:rPr>
          <w:rFonts w:asciiTheme="majorEastAsia" w:eastAsiaTheme="majorEastAsia" w:hAnsiTheme="majorEastAsia"/>
        </w:rPr>
      </w:pPr>
      <w:r>
        <w:rPr>
          <w:rFonts w:asciiTheme="majorEastAsia" w:eastAsiaTheme="majorEastAsia" w:hAnsiTheme="majorEastAsia" w:hint="eastAsia"/>
        </w:rPr>
        <w:t xml:space="preserve">１　</w:t>
      </w:r>
      <w:r w:rsidR="002D6D6B" w:rsidRPr="00393F30">
        <w:rPr>
          <w:rFonts w:asciiTheme="majorEastAsia" w:eastAsiaTheme="majorEastAsia" w:hAnsiTheme="majorEastAsia"/>
        </w:rPr>
        <w:t>障害者に対する差別禁止</w:t>
      </w:r>
      <w:r w:rsidR="002D6D6B" w:rsidRPr="00393F30">
        <w:rPr>
          <w:rFonts w:asciiTheme="majorEastAsia" w:eastAsiaTheme="majorEastAsia" w:hAnsiTheme="majorEastAsia" w:hint="eastAsia"/>
        </w:rPr>
        <w:t>（</w:t>
      </w:r>
      <w:r w:rsidR="002D6D6B" w:rsidRPr="00393F30">
        <w:rPr>
          <w:rFonts w:asciiTheme="majorEastAsia" w:eastAsiaTheme="majorEastAsia" w:hAnsiTheme="majorEastAsia" w:cs="ＭＳ 明朝" w:hint="eastAsia"/>
        </w:rPr>
        <w:t>※</w:t>
      </w:r>
      <w:r w:rsidR="002D6D6B" w:rsidRPr="00393F30">
        <w:rPr>
          <w:rFonts w:asciiTheme="majorEastAsia" w:eastAsiaTheme="majorEastAsia" w:hAnsiTheme="majorEastAsia" w:hint="eastAsia"/>
        </w:rPr>
        <w:t>１）</w:t>
      </w:r>
      <w:r w:rsidR="002D6D6B" w:rsidRPr="00393F30">
        <w:rPr>
          <w:rFonts w:asciiTheme="majorEastAsia" w:eastAsiaTheme="majorEastAsia" w:hAnsiTheme="majorEastAsia"/>
        </w:rPr>
        <w:t>、合理的配慮の提供義務</w:t>
      </w:r>
      <w:r w:rsidR="002D6D6B" w:rsidRPr="00393F30">
        <w:rPr>
          <w:rFonts w:asciiTheme="majorEastAsia" w:eastAsiaTheme="majorEastAsia" w:hAnsiTheme="majorEastAsia" w:hint="eastAsia"/>
        </w:rPr>
        <w:t>（</w:t>
      </w:r>
      <w:r w:rsidR="002D6D6B" w:rsidRPr="00393F30">
        <w:rPr>
          <w:rFonts w:asciiTheme="majorEastAsia" w:eastAsiaTheme="majorEastAsia" w:hAnsiTheme="majorEastAsia" w:cs="ＭＳ 明朝" w:hint="eastAsia"/>
        </w:rPr>
        <w:t>※</w:t>
      </w:r>
      <w:r w:rsidR="002D6D6B" w:rsidRPr="00393F30">
        <w:rPr>
          <w:rFonts w:asciiTheme="majorEastAsia" w:eastAsiaTheme="majorEastAsia" w:hAnsiTheme="majorEastAsia" w:hint="eastAsia"/>
        </w:rPr>
        <w:t>２）</w:t>
      </w:r>
      <w:r w:rsidR="002D6D6B" w:rsidRPr="00393F30">
        <w:rPr>
          <w:rFonts w:asciiTheme="majorEastAsia" w:eastAsiaTheme="majorEastAsia" w:hAnsiTheme="majorEastAsia"/>
        </w:rPr>
        <w:t>を規定</w:t>
      </w:r>
      <w:r w:rsidR="00DB0D49" w:rsidRPr="00393F30">
        <w:rPr>
          <w:rFonts w:asciiTheme="majorEastAsia" w:eastAsiaTheme="majorEastAsia" w:hAnsiTheme="majorEastAsia" w:hint="eastAsia"/>
        </w:rPr>
        <w:t>（</w:t>
      </w:r>
      <w:r w:rsidR="002D6D6B" w:rsidRPr="00393F30">
        <w:rPr>
          <w:rFonts w:asciiTheme="majorEastAsia" w:eastAsiaTheme="majorEastAsia" w:hAnsiTheme="majorEastAsia"/>
        </w:rPr>
        <w:t>施行期日 平成</w:t>
      </w:r>
      <w:r w:rsidR="002D6D6B" w:rsidRPr="00393F30">
        <w:rPr>
          <w:rFonts w:asciiTheme="majorEastAsia" w:eastAsiaTheme="majorEastAsia" w:hAnsiTheme="majorEastAsia" w:hint="eastAsia"/>
        </w:rPr>
        <w:t>２８</w:t>
      </w:r>
      <w:r w:rsidR="002D6D6B" w:rsidRPr="00393F30">
        <w:rPr>
          <w:rFonts w:asciiTheme="majorEastAsia" w:eastAsiaTheme="majorEastAsia" w:hAnsiTheme="majorEastAsia"/>
        </w:rPr>
        <w:t>年</w:t>
      </w:r>
      <w:r w:rsidR="002D6D6B" w:rsidRPr="00393F30">
        <w:rPr>
          <w:rFonts w:asciiTheme="majorEastAsia" w:eastAsiaTheme="majorEastAsia" w:hAnsiTheme="majorEastAsia" w:hint="eastAsia"/>
        </w:rPr>
        <w:t>４</w:t>
      </w:r>
      <w:r w:rsidR="002D6D6B" w:rsidRPr="00393F30">
        <w:rPr>
          <w:rFonts w:asciiTheme="majorEastAsia" w:eastAsiaTheme="majorEastAsia" w:hAnsiTheme="majorEastAsia"/>
        </w:rPr>
        <w:t>月</w:t>
      </w:r>
      <w:r w:rsidR="002D6D6B" w:rsidRPr="00393F30">
        <w:rPr>
          <w:rFonts w:asciiTheme="majorEastAsia" w:eastAsiaTheme="majorEastAsia" w:hAnsiTheme="majorEastAsia" w:hint="eastAsia"/>
        </w:rPr>
        <w:t>１</w:t>
      </w:r>
      <w:r w:rsidR="00DB0D49" w:rsidRPr="00393F30">
        <w:rPr>
          <w:rFonts w:asciiTheme="majorEastAsia" w:eastAsiaTheme="majorEastAsia" w:hAnsiTheme="majorEastAsia"/>
        </w:rPr>
        <w:t>日</w:t>
      </w:r>
      <w:r w:rsidR="00DB0D49" w:rsidRPr="00393F30">
        <w:rPr>
          <w:rFonts w:asciiTheme="majorEastAsia" w:eastAsiaTheme="majorEastAsia" w:hAnsiTheme="majorEastAsia" w:hint="eastAsia"/>
        </w:rPr>
        <w:t>）</w:t>
      </w:r>
      <w:r w:rsidR="002D6D6B" w:rsidRPr="00393F30">
        <w:rPr>
          <w:rFonts w:asciiTheme="majorEastAsia" w:eastAsiaTheme="majorEastAsia" w:hAnsiTheme="majorEastAsia"/>
        </w:rPr>
        <w:t>。</w:t>
      </w:r>
    </w:p>
    <w:p w:rsidR="00DB0D49" w:rsidRDefault="002D6D6B" w:rsidP="00DB0D49">
      <w:pPr>
        <w:pStyle w:val="a3"/>
        <w:ind w:leftChars="202" w:left="991" w:hangingChars="270" w:hanging="567"/>
      </w:pPr>
      <w:r w:rsidRPr="00DB0D49">
        <w:rPr>
          <w:rFonts w:ascii="ＭＳ 明朝" w:eastAsia="ＭＳ 明朝" w:hAnsi="ＭＳ 明朝" w:cs="ＭＳ 明朝" w:hint="eastAsia"/>
        </w:rPr>
        <w:t>※</w:t>
      </w:r>
      <w:r w:rsidRPr="002D6D6B">
        <w:rPr>
          <w:rFonts w:hint="eastAsia"/>
        </w:rPr>
        <w:t>１</w:t>
      </w:r>
      <w:r w:rsidRPr="002D6D6B">
        <w:t xml:space="preserve"> </w:t>
      </w:r>
      <w:r w:rsidRPr="002D6D6B">
        <w:rPr>
          <w:rFonts w:hint="eastAsia"/>
        </w:rPr>
        <w:t>不当な差別的取扱いを禁止。このため、職業能力等を適正に評価した結果といった合理的な理由による異なる取扱いが禁止されるものではない。</w:t>
      </w:r>
      <w:r w:rsidRPr="002D6D6B">
        <w:t xml:space="preserve"> </w:t>
      </w:r>
    </w:p>
    <w:p w:rsidR="002D6D6B" w:rsidRPr="002D6D6B" w:rsidRDefault="002D6D6B" w:rsidP="00DB0D49">
      <w:pPr>
        <w:pStyle w:val="a3"/>
        <w:ind w:leftChars="202" w:left="991" w:hangingChars="270" w:hanging="567"/>
      </w:pPr>
      <w:r w:rsidRPr="00DB0D49">
        <w:rPr>
          <w:rFonts w:ascii="ＭＳ 明朝" w:eastAsia="ＭＳ 明朝" w:hAnsi="ＭＳ 明朝" w:cs="ＭＳ 明朝" w:hint="eastAsia"/>
        </w:rPr>
        <w:t>※</w:t>
      </w:r>
      <w:r w:rsidRPr="002D6D6B">
        <w:rPr>
          <w:rFonts w:hint="eastAsia"/>
        </w:rPr>
        <w:t>２</w:t>
      </w:r>
      <w:r w:rsidRPr="002D6D6B">
        <w:t xml:space="preserve"> </w:t>
      </w:r>
      <w:r w:rsidRPr="002D6D6B">
        <w:rPr>
          <w:rFonts w:hint="eastAsia"/>
        </w:rPr>
        <w:t>事業主に対して過重な負担を及ぼすときは提供義務を負わない。</w:t>
      </w:r>
      <w:r w:rsidRPr="002D6D6B">
        <w:t xml:space="preserve">  </w:t>
      </w:r>
    </w:p>
    <w:p w:rsidR="00DB0D49" w:rsidRDefault="00DB0D49" w:rsidP="002D6D6B">
      <w:pPr>
        <w:rPr>
          <w:rFonts w:ascii="ＭＳ 明朝" w:eastAsia="ＭＳ 明朝" w:hAnsi="ＭＳ 明朝" w:cs="ＭＳ 明朝"/>
        </w:rPr>
      </w:pPr>
    </w:p>
    <w:p w:rsidR="002D6D6B" w:rsidRPr="00393F30" w:rsidRDefault="00393F30" w:rsidP="00393F30">
      <w:pPr>
        <w:rPr>
          <w:rFonts w:asciiTheme="majorEastAsia" w:eastAsiaTheme="majorEastAsia" w:hAnsiTheme="majorEastAsia"/>
        </w:rPr>
      </w:pPr>
      <w:r>
        <w:rPr>
          <w:rFonts w:asciiTheme="majorEastAsia" w:eastAsiaTheme="majorEastAsia" w:hAnsiTheme="majorEastAsia" w:hint="eastAsia"/>
        </w:rPr>
        <w:t xml:space="preserve">２　</w:t>
      </w:r>
      <w:r w:rsidR="002D6D6B" w:rsidRPr="00393F30">
        <w:rPr>
          <w:rFonts w:asciiTheme="majorEastAsia" w:eastAsiaTheme="majorEastAsia" w:hAnsiTheme="majorEastAsia"/>
        </w:rPr>
        <w:t>必要があると認めるときは、厚生労働大臣から事業主に対し、助言、指導又は勧告を実施。</w:t>
      </w:r>
    </w:p>
    <w:p w:rsidR="00DB0D49" w:rsidRPr="00393F30" w:rsidRDefault="00DB0D49" w:rsidP="00DB0D49">
      <w:pPr>
        <w:rPr>
          <w:rFonts w:asciiTheme="majorEastAsia" w:eastAsiaTheme="majorEastAsia" w:hAnsiTheme="majorEastAsia"/>
        </w:rPr>
      </w:pPr>
    </w:p>
    <w:p w:rsidR="00DB0D49" w:rsidRPr="00393F30" w:rsidRDefault="00393F30" w:rsidP="00393F30">
      <w:pPr>
        <w:ind w:left="141" w:hangingChars="67" w:hanging="141"/>
        <w:rPr>
          <w:rFonts w:asciiTheme="majorEastAsia" w:eastAsiaTheme="majorEastAsia" w:hAnsiTheme="majorEastAsia"/>
        </w:rPr>
      </w:pPr>
      <w:r>
        <w:rPr>
          <w:rFonts w:asciiTheme="majorEastAsia" w:eastAsiaTheme="majorEastAsia" w:hAnsiTheme="majorEastAsia" w:hint="eastAsia"/>
        </w:rPr>
        <w:t xml:space="preserve">３　</w:t>
      </w:r>
      <w:r w:rsidR="00DB0D49" w:rsidRPr="00393F30">
        <w:rPr>
          <w:rFonts w:asciiTheme="majorEastAsia" w:eastAsiaTheme="majorEastAsia" w:hAnsiTheme="majorEastAsia"/>
        </w:rPr>
        <w:t>今後、労働政策審議会障害者雇用分科会の意見を聴いて、具体的な内容は指針を策定。 なお、禁止される差別や合理的配慮の内容として、以下のものなどが想定される。</w:t>
      </w:r>
    </w:p>
    <w:p w:rsidR="00DB0D49" w:rsidRDefault="00DB0D49" w:rsidP="00DB0D49"/>
    <w:p w:rsidR="00DB0D49" w:rsidRDefault="00DB0D49" w:rsidP="00DB0D49">
      <w:pPr>
        <w:ind w:firstLineChars="100" w:firstLine="210"/>
      </w:pPr>
      <w:r>
        <w:rPr>
          <w:rFonts w:hint="eastAsia"/>
        </w:rPr>
        <w:t>（</w:t>
      </w:r>
      <w:r>
        <w:t>差別の主な具体例</w:t>
      </w:r>
      <w:r>
        <w:rPr>
          <w:rFonts w:hint="eastAsia"/>
        </w:rPr>
        <w:t>）</w:t>
      </w:r>
    </w:p>
    <w:p w:rsidR="00393F30" w:rsidRDefault="00393F30" w:rsidP="00393F30">
      <w:pPr>
        <w:ind w:firstLineChars="100" w:firstLine="210"/>
      </w:pPr>
      <w:r>
        <w:rPr>
          <w:rFonts w:hint="eastAsia"/>
        </w:rPr>
        <w:t>（１）募集・採用の機会</w:t>
      </w:r>
    </w:p>
    <w:p w:rsidR="00393F30" w:rsidRDefault="00393F30" w:rsidP="00393F30">
      <w:pPr>
        <w:pStyle w:val="a3"/>
        <w:numPr>
          <w:ilvl w:val="0"/>
          <w:numId w:val="8"/>
        </w:numPr>
        <w:ind w:leftChars="0" w:left="1560" w:hanging="720"/>
      </w:pPr>
      <w:r>
        <w:rPr>
          <w:rFonts w:hint="eastAsia"/>
        </w:rPr>
        <w:t>身体障害、知的障害、精神障害、車いすの利用、人工呼吸器の使用などを理由として採用を拒否すること</w:t>
      </w:r>
      <w:r w:rsidR="004F48FA">
        <w:rPr>
          <w:rFonts w:hint="eastAsia"/>
        </w:rPr>
        <w:t xml:space="preserve">　</w:t>
      </w:r>
      <w:r>
        <w:rPr>
          <w:rFonts w:hint="eastAsia"/>
        </w:rPr>
        <w:t>など</w:t>
      </w:r>
    </w:p>
    <w:p w:rsidR="00393F30" w:rsidRDefault="00393F30" w:rsidP="00393F30">
      <w:r>
        <w:rPr>
          <w:rFonts w:hint="eastAsia"/>
        </w:rPr>
        <w:t xml:space="preserve">　（２）</w:t>
      </w:r>
      <w:r w:rsidRPr="00393F30">
        <w:rPr>
          <w:rFonts w:hint="eastAsia"/>
        </w:rPr>
        <w:t>賃金の決定、教育訓練の実施、福利厚生施設の利用など</w:t>
      </w:r>
    </w:p>
    <w:p w:rsidR="00393F30" w:rsidRDefault="00393F30" w:rsidP="00393F30">
      <w:r>
        <w:rPr>
          <w:rFonts w:hint="eastAsia"/>
        </w:rPr>
        <w:t xml:space="preserve">　　　　</w:t>
      </w:r>
      <w:r w:rsidRPr="00393F30">
        <w:rPr>
          <w:rFonts w:hint="eastAsia"/>
        </w:rPr>
        <w:t>障害者であることを理由として、以下のような不当な差別的取扱いを行うこと</w:t>
      </w:r>
      <w:r w:rsidR="00AF7D33">
        <w:rPr>
          <w:rFonts w:hint="eastAsia"/>
        </w:rPr>
        <w:t>。</w:t>
      </w:r>
    </w:p>
    <w:p w:rsidR="00393F30" w:rsidRDefault="00393F30" w:rsidP="004F48FA">
      <w:pPr>
        <w:pStyle w:val="a3"/>
        <w:numPr>
          <w:ilvl w:val="0"/>
          <w:numId w:val="11"/>
        </w:numPr>
        <w:ind w:leftChars="0" w:left="1560" w:hanging="709"/>
      </w:pPr>
      <w:r>
        <w:rPr>
          <w:rFonts w:hint="eastAsia"/>
        </w:rPr>
        <w:t>賃金を引き下げること、低い賃金を設定すること、昇給をさせないこと</w:t>
      </w:r>
    </w:p>
    <w:p w:rsidR="00393F30" w:rsidRDefault="00393F30" w:rsidP="004F48FA">
      <w:pPr>
        <w:pStyle w:val="a3"/>
        <w:numPr>
          <w:ilvl w:val="0"/>
          <w:numId w:val="11"/>
        </w:numPr>
        <w:ind w:leftChars="0" w:left="1560" w:hanging="709"/>
      </w:pPr>
      <w:r>
        <w:rPr>
          <w:rFonts w:hint="eastAsia"/>
        </w:rPr>
        <w:t>研修、現場実習をうけさせないこと</w:t>
      </w:r>
    </w:p>
    <w:p w:rsidR="00393F30" w:rsidRDefault="00393F30" w:rsidP="004F48FA">
      <w:pPr>
        <w:pStyle w:val="a3"/>
        <w:numPr>
          <w:ilvl w:val="0"/>
          <w:numId w:val="11"/>
        </w:numPr>
        <w:ind w:leftChars="0" w:left="1560" w:hanging="709"/>
      </w:pPr>
      <w:r>
        <w:rPr>
          <w:rFonts w:hint="eastAsia"/>
        </w:rPr>
        <w:t>食堂や休憩室の利用を認めない</w:t>
      </w:r>
      <w:r>
        <w:rPr>
          <w:rFonts w:hint="eastAsia"/>
        </w:rPr>
        <w:t xml:space="preserve"> </w:t>
      </w:r>
      <w:r>
        <w:rPr>
          <w:rFonts w:hint="eastAsia"/>
        </w:rPr>
        <w:t>など</w:t>
      </w:r>
    </w:p>
    <w:p w:rsidR="004F48FA" w:rsidRDefault="004F48FA" w:rsidP="004F48FA"/>
    <w:p w:rsidR="004F48FA" w:rsidRDefault="004F48FA" w:rsidP="004F48FA">
      <w:r>
        <w:rPr>
          <w:rFonts w:hint="eastAsia"/>
        </w:rPr>
        <w:t xml:space="preserve">　（</w:t>
      </w:r>
      <w:r>
        <w:t>合理的配慮の主な具体例</w:t>
      </w:r>
      <w:r>
        <w:rPr>
          <w:rFonts w:hint="eastAsia"/>
        </w:rPr>
        <w:t>）</w:t>
      </w:r>
    </w:p>
    <w:p w:rsidR="004F48FA" w:rsidRDefault="004F48FA" w:rsidP="004F48FA">
      <w:pPr>
        <w:ind w:firstLineChars="100" w:firstLine="210"/>
      </w:pPr>
      <w:r>
        <w:rPr>
          <w:rFonts w:hint="eastAsia"/>
        </w:rPr>
        <w:t>（１）募集・採用の機会</w:t>
      </w:r>
    </w:p>
    <w:p w:rsidR="004F48FA" w:rsidRDefault="004F48FA" w:rsidP="004F48FA">
      <w:pPr>
        <w:pStyle w:val="a3"/>
        <w:numPr>
          <w:ilvl w:val="0"/>
          <w:numId w:val="13"/>
        </w:numPr>
        <w:ind w:leftChars="0" w:left="1560" w:hanging="709"/>
      </w:pPr>
      <w:r>
        <w:rPr>
          <w:rFonts w:hint="eastAsia"/>
        </w:rPr>
        <w:t>問題用紙を点訳・音訳すること、試験などで拡大読書器を利用できるようにすること、試験の回答時間を延長すること、回答方法を工夫すること</w:t>
      </w:r>
      <w:r>
        <w:rPr>
          <w:rFonts w:hint="eastAsia"/>
        </w:rPr>
        <w:t xml:space="preserve"> </w:t>
      </w:r>
      <w:r>
        <w:rPr>
          <w:rFonts w:hint="eastAsia"/>
        </w:rPr>
        <w:t>など</w:t>
      </w:r>
    </w:p>
    <w:p w:rsidR="004F48FA" w:rsidRPr="004F48FA" w:rsidRDefault="004F48FA" w:rsidP="004F48FA">
      <w:r>
        <w:rPr>
          <w:rFonts w:hint="eastAsia"/>
        </w:rPr>
        <w:t xml:space="preserve">　（２）</w:t>
      </w:r>
      <w:r w:rsidRPr="004F48FA">
        <w:rPr>
          <w:rFonts w:hint="eastAsia"/>
        </w:rPr>
        <w:t>施設の整備、援助を行う者の配置など</w:t>
      </w:r>
    </w:p>
    <w:p w:rsidR="004F48FA" w:rsidRDefault="004F48FA" w:rsidP="004F48FA">
      <w:pPr>
        <w:pStyle w:val="a3"/>
        <w:numPr>
          <w:ilvl w:val="0"/>
          <w:numId w:val="15"/>
        </w:numPr>
        <w:ind w:leftChars="0" w:left="1560" w:hanging="720"/>
      </w:pPr>
      <w:r>
        <w:rPr>
          <w:rFonts w:hint="eastAsia"/>
        </w:rPr>
        <w:t>車いすを利用する方に合わせて、机や作業台の高さを調整すること</w:t>
      </w:r>
    </w:p>
    <w:p w:rsidR="004F48FA" w:rsidRDefault="004F48FA" w:rsidP="004F48FA">
      <w:pPr>
        <w:pStyle w:val="a3"/>
        <w:numPr>
          <w:ilvl w:val="0"/>
          <w:numId w:val="15"/>
        </w:numPr>
        <w:ind w:leftChars="0" w:left="1560" w:hanging="720"/>
      </w:pPr>
      <w:r>
        <w:rPr>
          <w:rFonts w:hint="eastAsia"/>
        </w:rPr>
        <w:t>文字だけでなく口頭での説明を行うこと、口頭だけでなくわかりやすい文書・絵図を用いて説明すること、筆談ができるようにすること</w:t>
      </w:r>
    </w:p>
    <w:p w:rsidR="004F48FA" w:rsidRDefault="004F48FA" w:rsidP="004F48FA">
      <w:pPr>
        <w:pStyle w:val="a3"/>
        <w:numPr>
          <w:ilvl w:val="0"/>
          <w:numId w:val="15"/>
        </w:numPr>
        <w:ind w:leftChars="0" w:left="1560" w:hanging="720"/>
      </w:pPr>
      <w:r>
        <w:rPr>
          <w:rFonts w:hint="eastAsia"/>
        </w:rPr>
        <w:t>手話通訳者・要約筆記者を配置・派遣すること、雇用主との間で調整する相談員を置くこと</w:t>
      </w:r>
    </w:p>
    <w:p w:rsidR="004F48FA" w:rsidRDefault="004F48FA" w:rsidP="004F48FA">
      <w:pPr>
        <w:pStyle w:val="a3"/>
        <w:numPr>
          <w:ilvl w:val="0"/>
          <w:numId w:val="15"/>
        </w:numPr>
        <w:ind w:leftChars="0" w:left="1560" w:hanging="720"/>
      </w:pPr>
      <w:r>
        <w:rPr>
          <w:rFonts w:hint="eastAsia"/>
        </w:rPr>
        <w:t>通勤時のラッシュを避けるため勤務時間を変更すること</w:t>
      </w:r>
      <w:r>
        <w:rPr>
          <w:rFonts w:hint="eastAsia"/>
        </w:rPr>
        <w:t xml:space="preserve"> </w:t>
      </w:r>
      <w:r>
        <w:rPr>
          <w:rFonts w:hint="eastAsia"/>
        </w:rPr>
        <w:t>など</w:t>
      </w:r>
    </w:p>
    <w:p w:rsidR="004F48FA" w:rsidRDefault="004F48FA" w:rsidP="004F48FA"/>
    <w:p w:rsidR="004F48FA" w:rsidRDefault="004F48FA" w:rsidP="004F48FA"/>
    <w:p w:rsidR="004F48FA" w:rsidRDefault="004F48FA" w:rsidP="004F48FA"/>
    <w:p w:rsidR="004F48FA" w:rsidRDefault="004F48FA" w:rsidP="004F48FA"/>
    <w:p w:rsidR="004F48FA" w:rsidRPr="002D6D6B" w:rsidRDefault="004F48FA" w:rsidP="004F48FA">
      <w:pPr>
        <w:jc w:val="center"/>
        <w:rPr>
          <w:rFonts w:asciiTheme="majorEastAsia" w:eastAsiaTheme="majorEastAsia" w:hAnsiTheme="majorEastAsia"/>
        </w:rPr>
      </w:pPr>
      <w:r w:rsidRPr="002D6D6B">
        <w:rPr>
          <w:rFonts w:asciiTheme="majorEastAsia" w:eastAsiaTheme="majorEastAsia" w:hAnsiTheme="majorEastAsia" w:hint="eastAsia"/>
        </w:rPr>
        <w:lastRenderedPageBreak/>
        <w:t>そ</w:t>
      </w:r>
      <w:r>
        <w:rPr>
          <w:rFonts w:asciiTheme="majorEastAsia" w:eastAsiaTheme="majorEastAsia" w:hAnsiTheme="majorEastAsia" w:hint="eastAsia"/>
        </w:rPr>
        <w:t>の２</w:t>
      </w:r>
      <w:r w:rsidRPr="002D6D6B">
        <w:rPr>
          <w:rFonts w:asciiTheme="majorEastAsia" w:eastAsiaTheme="majorEastAsia" w:hAnsiTheme="majorEastAsia" w:hint="eastAsia"/>
        </w:rPr>
        <w:t xml:space="preserve">　</w:t>
      </w:r>
      <w:r>
        <w:rPr>
          <w:rFonts w:asciiTheme="majorEastAsia" w:eastAsiaTheme="majorEastAsia" w:hAnsiTheme="majorEastAsia" w:hint="eastAsia"/>
        </w:rPr>
        <w:t>苦情処理・紛争解決援助について</w:t>
      </w:r>
    </w:p>
    <w:p w:rsidR="004F48FA" w:rsidRDefault="004F48FA" w:rsidP="004F48FA"/>
    <w:p w:rsidR="004F48FA" w:rsidRPr="004F48FA" w:rsidRDefault="004F48FA" w:rsidP="004F48FA">
      <w:pPr>
        <w:ind w:left="283" w:hangingChars="135" w:hanging="283"/>
        <w:rPr>
          <w:rFonts w:asciiTheme="majorEastAsia" w:eastAsiaTheme="majorEastAsia" w:hAnsiTheme="majorEastAsia"/>
        </w:rPr>
      </w:pPr>
      <w:r>
        <w:rPr>
          <w:rFonts w:asciiTheme="majorEastAsia" w:eastAsiaTheme="majorEastAsia" w:hAnsiTheme="majorEastAsia" w:hint="eastAsia"/>
        </w:rPr>
        <w:t xml:space="preserve">１　</w:t>
      </w:r>
      <w:r w:rsidRPr="004F48FA">
        <w:rPr>
          <w:rFonts w:asciiTheme="majorEastAsia" w:eastAsiaTheme="majorEastAsia" w:hAnsiTheme="majorEastAsia"/>
        </w:rPr>
        <w:t>事業主は、障害者に対する差別や合理的配慮の提供に係る事項について、障害者である労働者から苦情の申出を受けたときは、その自主的な解決を図るよう努める。</w:t>
      </w:r>
    </w:p>
    <w:p w:rsidR="004F48FA" w:rsidRDefault="004F48FA" w:rsidP="004F48FA">
      <w:pPr>
        <w:rPr>
          <w:rFonts w:ascii="ＭＳ 明朝" w:eastAsia="ＭＳ 明朝" w:hAnsi="ＭＳ 明朝" w:cs="ＭＳ 明朝"/>
        </w:rPr>
      </w:pPr>
    </w:p>
    <w:p w:rsidR="004F48FA" w:rsidRPr="00393F30" w:rsidRDefault="004F48FA" w:rsidP="004F48FA">
      <w:pPr>
        <w:ind w:left="283" w:hangingChars="135" w:hanging="283"/>
        <w:rPr>
          <w:rFonts w:asciiTheme="majorEastAsia" w:eastAsiaTheme="majorEastAsia" w:hAnsiTheme="majorEastAsia"/>
        </w:rPr>
      </w:pPr>
      <w:r>
        <w:rPr>
          <w:rFonts w:asciiTheme="majorEastAsia" w:eastAsiaTheme="majorEastAsia" w:hAnsiTheme="majorEastAsia" w:hint="eastAsia"/>
        </w:rPr>
        <w:t xml:space="preserve">２　</w:t>
      </w:r>
      <w:r w:rsidRPr="004F48FA">
        <w:rPr>
          <w:rFonts w:asciiTheme="majorEastAsia" w:eastAsiaTheme="majorEastAsia" w:hAnsiTheme="majorEastAsia" w:hint="eastAsia"/>
        </w:rPr>
        <w:t>当該事項に係る紛争は、個別労働紛争解決促進法の特例を設け、都道府県労働局長が必要な助言、指導又は勧告をすることができるものとするとともに、新たに創設する調停制度の対象とする。</w:t>
      </w:r>
    </w:p>
    <w:p w:rsidR="004F48FA" w:rsidRPr="00393F30" w:rsidRDefault="004F48FA" w:rsidP="004F48FA">
      <w:pPr>
        <w:rPr>
          <w:rFonts w:asciiTheme="majorEastAsia" w:eastAsiaTheme="majorEastAsia" w:hAnsiTheme="majorEastAsia"/>
        </w:rPr>
      </w:pPr>
    </w:p>
    <w:p w:rsidR="004F48FA" w:rsidRPr="00393F30" w:rsidRDefault="004F48FA" w:rsidP="004F48FA">
      <w:pPr>
        <w:ind w:left="141" w:hangingChars="67" w:hanging="141"/>
        <w:rPr>
          <w:rFonts w:asciiTheme="majorEastAsia" w:eastAsiaTheme="majorEastAsia" w:hAnsiTheme="majorEastAsia"/>
        </w:rPr>
      </w:pPr>
      <w:r>
        <w:rPr>
          <w:rFonts w:asciiTheme="majorEastAsia" w:eastAsiaTheme="majorEastAsia" w:hAnsiTheme="majorEastAsia" w:hint="eastAsia"/>
        </w:rPr>
        <w:t xml:space="preserve">３　</w:t>
      </w:r>
      <w:r w:rsidRPr="00393F30">
        <w:rPr>
          <w:rFonts w:asciiTheme="majorEastAsia" w:eastAsiaTheme="majorEastAsia" w:hAnsiTheme="majorEastAsia"/>
        </w:rPr>
        <w:t>今後、労働政策審議会障害者雇用分科会の意見を聴いて、具体的な内容は指針を策定。 なお、禁止される差別や合理的配慮の内容として、以下のものなどが想定される。</w:t>
      </w:r>
    </w:p>
    <w:p w:rsidR="004F48FA" w:rsidRDefault="004F48FA" w:rsidP="004F48FA"/>
    <w:p w:rsidR="004F48FA" w:rsidRDefault="004F48FA" w:rsidP="004F48FA">
      <w:pPr>
        <w:ind w:firstLineChars="100" w:firstLine="210"/>
      </w:pPr>
      <w:r>
        <w:rPr>
          <w:rFonts w:hint="eastAsia"/>
        </w:rPr>
        <w:t>（解決のフローイメージ）</w:t>
      </w:r>
    </w:p>
    <w:p w:rsidR="004F48FA" w:rsidRDefault="004F48FA" w:rsidP="004F48FA">
      <w:pPr>
        <w:ind w:firstLineChars="100" w:firstLine="210"/>
      </w:pPr>
      <w:r>
        <w:rPr>
          <w:rFonts w:hint="eastAsia"/>
        </w:rPr>
        <w:t>（１）企業</w:t>
      </w:r>
    </w:p>
    <w:p w:rsidR="004F48FA" w:rsidRDefault="004F48FA" w:rsidP="009D72B3">
      <w:pPr>
        <w:pStyle w:val="a3"/>
        <w:numPr>
          <w:ilvl w:val="1"/>
          <w:numId w:val="17"/>
        </w:numPr>
        <w:ind w:leftChars="0" w:left="1560" w:hanging="709"/>
      </w:pPr>
      <w:r>
        <w:rPr>
          <w:rFonts w:hint="eastAsia"/>
        </w:rPr>
        <w:t>事業主は、障害者である労働者との間で</w:t>
      </w:r>
      <w:r w:rsidR="009D72B3">
        <w:rPr>
          <w:rFonts w:hint="eastAsia"/>
        </w:rPr>
        <w:t>紛争の自主的解決を図る</w:t>
      </w:r>
    </w:p>
    <w:p w:rsidR="009D72B3" w:rsidRDefault="009D72B3" w:rsidP="009D72B3">
      <w:r>
        <w:rPr>
          <w:rFonts w:hint="eastAsia"/>
        </w:rPr>
        <w:t xml:space="preserve">　（２）都道府県労働局</w:t>
      </w:r>
    </w:p>
    <w:p w:rsidR="009D72B3" w:rsidRDefault="009D72B3" w:rsidP="00AF7D33">
      <w:pPr>
        <w:ind w:left="850" w:hangingChars="405" w:hanging="850"/>
      </w:pPr>
      <w:r>
        <w:rPr>
          <w:rFonts w:hint="eastAsia"/>
        </w:rPr>
        <w:t xml:space="preserve">　　　　自主的解決では、解決しない場合、（ア）又は（イ）の選択肢がある。（ア）を経て、（イ）</w:t>
      </w:r>
      <w:r w:rsidR="00FA4537">
        <w:rPr>
          <w:rFonts w:hint="eastAsia"/>
        </w:rPr>
        <w:t>へと</w:t>
      </w:r>
      <w:r w:rsidR="00AF7D33">
        <w:rPr>
          <w:rFonts w:hint="eastAsia"/>
        </w:rPr>
        <w:t>至るルートもあり。</w:t>
      </w:r>
    </w:p>
    <w:p w:rsidR="009D72B3" w:rsidRDefault="009D72B3" w:rsidP="009D72B3">
      <w:pPr>
        <w:pStyle w:val="a3"/>
        <w:numPr>
          <w:ilvl w:val="1"/>
          <w:numId w:val="13"/>
        </w:numPr>
        <w:ind w:leftChars="0" w:left="1560" w:hanging="709"/>
      </w:pPr>
      <w:r>
        <w:rPr>
          <w:rFonts w:hint="eastAsia"/>
        </w:rPr>
        <w:t>都道府県労働局長による紛争当事者への助言・指導・勧告</w:t>
      </w:r>
    </w:p>
    <w:p w:rsidR="009D72B3" w:rsidRDefault="009D72B3" w:rsidP="009D72B3">
      <w:pPr>
        <w:pStyle w:val="a3"/>
        <w:numPr>
          <w:ilvl w:val="1"/>
          <w:numId w:val="13"/>
        </w:numPr>
        <w:ind w:leftChars="0" w:left="1560" w:hanging="709"/>
      </w:pPr>
      <w:r>
        <w:rPr>
          <w:rFonts w:hint="eastAsia"/>
        </w:rPr>
        <w:t>紛争調停委員会（労働局長の委任によるもの）</w:t>
      </w:r>
    </w:p>
    <w:p w:rsidR="009D72B3" w:rsidRDefault="009D72B3" w:rsidP="009D72B3">
      <w:pPr>
        <w:pStyle w:val="a3"/>
        <w:ind w:leftChars="0" w:left="1560"/>
      </w:pPr>
      <w:r>
        <w:rPr>
          <w:rFonts w:hint="eastAsia"/>
        </w:rPr>
        <w:t>調停委員による調停・調停案の作成・受諾勧告</w:t>
      </w:r>
    </w:p>
    <w:p w:rsidR="00AF7D33" w:rsidRDefault="009D72B3" w:rsidP="00AF7D33">
      <w:pPr>
        <w:pStyle w:val="a3"/>
        <w:numPr>
          <w:ilvl w:val="2"/>
          <w:numId w:val="13"/>
        </w:numPr>
        <w:ind w:leftChars="0" w:left="1985" w:hanging="425"/>
      </w:pPr>
      <w:r>
        <w:rPr>
          <w:rFonts w:hint="eastAsia"/>
        </w:rPr>
        <w:t>必要があると認めるときは、当事者又は障害者の医療等に関する専門的知識を有する者などの意見を聴くことが</w:t>
      </w:r>
      <w:r w:rsidR="00AF7D33">
        <w:rPr>
          <w:rFonts w:hint="eastAsia"/>
        </w:rPr>
        <w:t>可能</w:t>
      </w:r>
    </w:p>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Default="00AF7D33" w:rsidP="00AF7D33"/>
    <w:p w:rsidR="00AF7D33" w:rsidRPr="00AF7D33" w:rsidRDefault="00AF7D33" w:rsidP="00AF7D33"/>
    <w:sectPr w:rsidR="00AF7D33" w:rsidRPr="00AF7D33" w:rsidSect="002D6D6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7F" w:rsidRDefault="00FF067F" w:rsidP="00FA4537">
      <w:r>
        <w:separator/>
      </w:r>
    </w:p>
  </w:endnote>
  <w:endnote w:type="continuationSeparator" w:id="0">
    <w:p w:rsidR="00FF067F" w:rsidRDefault="00FF067F" w:rsidP="00FA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06718"/>
      <w:docPartObj>
        <w:docPartGallery w:val="Page Numbers (Bottom of Page)"/>
        <w:docPartUnique/>
      </w:docPartObj>
    </w:sdtPr>
    <w:sdtEndPr/>
    <w:sdtContent>
      <w:p w:rsidR="00E15977" w:rsidRDefault="00E15977">
        <w:pPr>
          <w:pStyle w:val="a6"/>
          <w:jc w:val="center"/>
        </w:pPr>
        <w:r>
          <w:fldChar w:fldCharType="begin"/>
        </w:r>
        <w:r>
          <w:instrText>PAGE   \* MERGEFORMAT</w:instrText>
        </w:r>
        <w:r>
          <w:fldChar w:fldCharType="separate"/>
        </w:r>
        <w:r w:rsidR="00B96252" w:rsidRPr="00B96252">
          <w:rPr>
            <w:noProof/>
            <w:lang w:val="ja-JP"/>
          </w:rPr>
          <w:t>1</w:t>
        </w:r>
        <w:r>
          <w:fldChar w:fldCharType="end"/>
        </w:r>
      </w:p>
    </w:sdtContent>
  </w:sdt>
  <w:p w:rsidR="00E15977" w:rsidRDefault="00E159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7F" w:rsidRDefault="00FF067F" w:rsidP="00FA4537">
      <w:r>
        <w:separator/>
      </w:r>
    </w:p>
  </w:footnote>
  <w:footnote w:type="continuationSeparator" w:id="0">
    <w:p w:rsidR="00FF067F" w:rsidRDefault="00FF067F" w:rsidP="00FA4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26A"/>
    <w:multiLevelType w:val="hybridMultilevel"/>
    <w:tmpl w:val="9AC295BC"/>
    <w:lvl w:ilvl="0" w:tplc="E468E852">
      <w:start w:val="1"/>
      <w:numFmt w:val="aiueoFullWidth"/>
      <w:lvlText w:val="（%1）"/>
      <w:lvlJc w:val="left"/>
      <w:pPr>
        <w:ind w:left="1711" w:hanging="7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nsid w:val="0D5A6E7B"/>
    <w:multiLevelType w:val="hybridMultilevel"/>
    <w:tmpl w:val="4296DD80"/>
    <w:lvl w:ilvl="0" w:tplc="E98E9926">
      <w:numFmt w:val="bullet"/>
      <w:lvlText w:val="・"/>
      <w:lvlJc w:val="left"/>
      <w:pPr>
        <w:ind w:left="1561" w:hanging="360"/>
      </w:pPr>
      <w:rPr>
        <w:rFonts w:ascii="ＭＳ 明朝" w:eastAsia="ＭＳ 明朝" w:hAnsi="ＭＳ 明朝" w:cstheme="minorBidi" w:hint="eastAsia"/>
      </w:rPr>
    </w:lvl>
    <w:lvl w:ilvl="1" w:tplc="1A825936">
      <w:start w:val="2"/>
      <w:numFmt w:val="bullet"/>
      <w:lvlText w:val="※"/>
      <w:lvlJc w:val="left"/>
      <w:pPr>
        <w:ind w:left="1981" w:hanging="360"/>
      </w:pPr>
      <w:rPr>
        <w:rFonts w:ascii="ＭＳ 明朝" w:eastAsia="ＭＳ 明朝" w:hAnsi="ＭＳ 明朝" w:cstheme="minorBidi" w:hint="eastAsia"/>
      </w:rPr>
    </w:lvl>
    <w:lvl w:ilvl="2" w:tplc="0409000D" w:tentative="1">
      <w:start w:val="1"/>
      <w:numFmt w:val="bullet"/>
      <w:lvlText w:val=""/>
      <w:lvlJc w:val="left"/>
      <w:pPr>
        <w:ind w:left="2461" w:hanging="420"/>
      </w:pPr>
      <w:rPr>
        <w:rFonts w:ascii="Wingdings" w:hAnsi="Wingdings" w:hint="default"/>
      </w:rPr>
    </w:lvl>
    <w:lvl w:ilvl="3" w:tplc="04090001" w:tentative="1">
      <w:start w:val="1"/>
      <w:numFmt w:val="bullet"/>
      <w:lvlText w:val=""/>
      <w:lvlJc w:val="left"/>
      <w:pPr>
        <w:ind w:left="2881" w:hanging="420"/>
      </w:pPr>
      <w:rPr>
        <w:rFonts w:ascii="Wingdings" w:hAnsi="Wingdings" w:hint="default"/>
      </w:rPr>
    </w:lvl>
    <w:lvl w:ilvl="4" w:tplc="0409000B" w:tentative="1">
      <w:start w:val="1"/>
      <w:numFmt w:val="bullet"/>
      <w:lvlText w:val=""/>
      <w:lvlJc w:val="left"/>
      <w:pPr>
        <w:ind w:left="3301" w:hanging="420"/>
      </w:pPr>
      <w:rPr>
        <w:rFonts w:ascii="Wingdings" w:hAnsi="Wingdings" w:hint="default"/>
      </w:rPr>
    </w:lvl>
    <w:lvl w:ilvl="5" w:tplc="0409000D" w:tentative="1">
      <w:start w:val="1"/>
      <w:numFmt w:val="bullet"/>
      <w:lvlText w:val=""/>
      <w:lvlJc w:val="left"/>
      <w:pPr>
        <w:ind w:left="3721" w:hanging="420"/>
      </w:pPr>
      <w:rPr>
        <w:rFonts w:ascii="Wingdings" w:hAnsi="Wingdings" w:hint="default"/>
      </w:rPr>
    </w:lvl>
    <w:lvl w:ilvl="6" w:tplc="04090001" w:tentative="1">
      <w:start w:val="1"/>
      <w:numFmt w:val="bullet"/>
      <w:lvlText w:val=""/>
      <w:lvlJc w:val="left"/>
      <w:pPr>
        <w:ind w:left="4141" w:hanging="420"/>
      </w:pPr>
      <w:rPr>
        <w:rFonts w:ascii="Wingdings" w:hAnsi="Wingdings" w:hint="default"/>
      </w:rPr>
    </w:lvl>
    <w:lvl w:ilvl="7" w:tplc="0409000B" w:tentative="1">
      <w:start w:val="1"/>
      <w:numFmt w:val="bullet"/>
      <w:lvlText w:val=""/>
      <w:lvlJc w:val="left"/>
      <w:pPr>
        <w:ind w:left="4561" w:hanging="420"/>
      </w:pPr>
      <w:rPr>
        <w:rFonts w:ascii="Wingdings" w:hAnsi="Wingdings" w:hint="default"/>
      </w:rPr>
    </w:lvl>
    <w:lvl w:ilvl="8" w:tplc="0409000D" w:tentative="1">
      <w:start w:val="1"/>
      <w:numFmt w:val="bullet"/>
      <w:lvlText w:val=""/>
      <w:lvlJc w:val="left"/>
      <w:pPr>
        <w:ind w:left="4981" w:hanging="420"/>
      </w:pPr>
      <w:rPr>
        <w:rFonts w:ascii="Wingdings" w:hAnsi="Wingdings" w:hint="default"/>
      </w:rPr>
    </w:lvl>
  </w:abstractNum>
  <w:abstractNum w:abstractNumId="2">
    <w:nsid w:val="0E311A01"/>
    <w:multiLevelType w:val="hybridMultilevel"/>
    <w:tmpl w:val="89888B6E"/>
    <w:lvl w:ilvl="0" w:tplc="02EC5154">
      <w:start w:val="1"/>
      <w:numFmt w:val="aiueoFullWidth"/>
      <w:lvlText w:val="（%1）"/>
      <w:lvlJc w:val="left"/>
      <w:pPr>
        <w:ind w:left="2400" w:hanging="7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4C920D7"/>
    <w:multiLevelType w:val="hybridMultilevel"/>
    <w:tmpl w:val="34B44E2E"/>
    <w:lvl w:ilvl="0" w:tplc="04090001">
      <w:start w:val="1"/>
      <w:numFmt w:val="bullet"/>
      <w:lvlText w:val=""/>
      <w:lvlJc w:val="left"/>
      <w:pPr>
        <w:ind w:left="1621" w:hanging="420"/>
      </w:pPr>
      <w:rPr>
        <w:rFonts w:ascii="Wingdings" w:hAnsi="Wingdings" w:hint="default"/>
      </w:rPr>
    </w:lvl>
    <w:lvl w:ilvl="1" w:tplc="0409000B" w:tentative="1">
      <w:start w:val="1"/>
      <w:numFmt w:val="bullet"/>
      <w:lvlText w:val=""/>
      <w:lvlJc w:val="left"/>
      <w:pPr>
        <w:ind w:left="2041" w:hanging="420"/>
      </w:pPr>
      <w:rPr>
        <w:rFonts w:ascii="Wingdings" w:hAnsi="Wingdings" w:hint="default"/>
      </w:rPr>
    </w:lvl>
    <w:lvl w:ilvl="2" w:tplc="0409000D" w:tentative="1">
      <w:start w:val="1"/>
      <w:numFmt w:val="bullet"/>
      <w:lvlText w:val=""/>
      <w:lvlJc w:val="left"/>
      <w:pPr>
        <w:ind w:left="2461" w:hanging="420"/>
      </w:pPr>
      <w:rPr>
        <w:rFonts w:ascii="Wingdings" w:hAnsi="Wingdings" w:hint="default"/>
      </w:rPr>
    </w:lvl>
    <w:lvl w:ilvl="3" w:tplc="04090001" w:tentative="1">
      <w:start w:val="1"/>
      <w:numFmt w:val="bullet"/>
      <w:lvlText w:val=""/>
      <w:lvlJc w:val="left"/>
      <w:pPr>
        <w:ind w:left="2881" w:hanging="420"/>
      </w:pPr>
      <w:rPr>
        <w:rFonts w:ascii="Wingdings" w:hAnsi="Wingdings" w:hint="default"/>
      </w:rPr>
    </w:lvl>
    <w:lvl w:ilvl="4" w:tplc="0409000B" w:tentative="1">
      <w:start w:val="1"/>
      <w:numFmt w:val="bullet"/>
      <w:lvlText w:val=""/>
      <w:lvlJc w:val="left"/>
      <w:pPr>
        <w:ind w:left="3301" w:hanging="420"/>
      </w:pPr>
      <w:rPr>
        <w:rFonts w:ascii="Wingdings" w:hAnsi="Wingdings" w:hint="default"/>
      </w:rPr>
    </w:lvl>
    <w:lvl w:ilvl="5" w:tplc="0409000D" w:tentative="1">
      <w:start w:val="1"/>
      <w:numFmt w:val="bullet"/>
      <w:lvlText w:val=""/>
      <w:lvlJc w:val="left"/>
      <w:pPr>
        <w:ind w:left="3721" w:hanging="420"/>
      </w:pPr>
      <w:rPr>
        <w:rFonts w:ascii="Wingdings" w:hAnsi="Wingdings" w:hint="default"/>
      </w:rPr>
    </w:lvl>
    <w:lvl w:ilvl="6" w:tplc="04090001" w:tentative="1">
      <w:start w:val="1"/>
      <w:numFmt w:val="bullet"/>
      <w:lvlText w:val=""/>
      <w:lvlJc w:val="left"/>
      <w:pPr>
        <w:ind w:left="4141" w:hanging="420"/>
      </w:pPr>
      <w:rPr>
        <w:rFonts w:ascii="Wingdings" w:hAnsi="Wingdings" w:hint="default"/>
      </w:rPr>
    </w:lvl>
    <w:lvl w:ilvl="7" w:tplc="0409000B" w:tentative="1">
      <w:start w:val="1"/>
      <w:numFmt w:val="bullet"/>
      <w:lvlText w:val=""/>
      <w:lvlJc w:val="left"/>
      <w:pPr>
        <w:ind w:left="4561" w:hanging="420"/>
      </w:pPr>
      <w:rPr>
        <w:rFonts w:ascii="Wingdings" w:hAnsi="Wingdings" w:hint="default"/>
      </w:rPr>
    </w:lvl>
    <w:lvl w:ilvl="8" w:tplc="0409000D" w:tentative="1">
      <w:start w:val="1"/>
      <w:numFmt w:val="bullet"/>
      <w:lvlText w:val=""/>
      <w:lvlJc w:val="left"/>
      <w:pPr>
        <w:ind w:left="4981" w:hanging="420"/>
      </w:pPr>
      <w:rPr>
        <w:rFonts w:ascii="Wingdings" w:hAnsi="Wingdings" w:hint="default"/>
      </w:rPr>
    </w:lvl>
  </w:abstractNum>
  <w:abstractNum w:abstractNumId="4">
    <w:nsid w:val="14EF3FC8"/>
    <w:multiLevelType w:val="hybridMultilevel"/>
    <w:tmpl w:val="4878B4B8"/>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22D320D0"/>
    <w:multiLevelType w:val="hybridMultilevel"/>
    <w:tmpl w:val="2D1CFC00"/>
    <w:lvl w:ilvl="0" w:tplc="E468E852">
      <w:start w:val="1"/>
      <w:numFmt w:val="aiueo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30370E1"/>
    <w:multiLevelType w:val="hybridMultilevel"/>
    <w:tmpl w:val="2BE67C1C"/>
    <w:lvl w:ilvl="0" w:tplc="04090017">
      <w:start w:val="1"/>
      <w:numFmt w:val="aiueoFullWidth"/>
      <w:lvlText w:val="(%1)"/>
      <w:lvlJc w:val="left"/>
      <w:pPr>
        <w:ind w:left="1270" w:hanging="420"/>
      </w:pPr>
    </w:lvl>
    <w:lvl w:ilvl="1" w:tplc="E468E852">
      <w:start w:val="1"/>
      <w:numFmt w:val="aiueoFullWidth"/>
      <w:lvlText w:val="（%2）"/>
      <w:lvlJc w:val="left"/>
      <w:pPr>
        <w:ind w:left="1690" w:hanging="420"/>
      </w:pPr>
      <w:rPr>
        <w:rFonts w:hint="eastAsia"/>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nsid w:val="2380211C"/>
    <w:multiLevelType w:val="hybridMultilevel"/>
    <w:tmpl w:val="12E05E5E"/>
    <w:lvl w:ilvl="0" w:tplc="02EC5154">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3C66C30"/>
    <w:multiLevelType w:val="hybridMultilevel"/>
    <w:tmpl w:val="69D6AF5C"/>
    <w:lvl w:ilvl="0" w:tplc="C0562D4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0D62E6"/>
    <w:multiLevelType w:val="hybridMultilevel"/>
    <w:tmpl w:val="C5AA8C40"/>
    <w:lvl w:ilvl="0" w:tplc="0409000F">
      <w:start w:val="1"/>
      <w:numFmt w:val="decimal"/>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0">
    <w:nsid w:val="555A36EF"/>
    <w:multiLevelType w:val="hybridMultilevel"/>
    <w:tmpl w:val="3A88DAFC"/>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56DE4E1D"/>
    <w:multiLevelType w:val="hybridMultilevel"/>
    <w:tmpl w:val="6D34C4C0"/>
    <w:lvl w:ilvl="0" w:tplc="02EC5154">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5C6E346D"/>
    <w:multiLevelType w:val="hybridMultilevel"/>
    <w:tmpl w:val="E3EEAA44"/>
    <w:lvl w:ilvl="0" w:tplc="E468E85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31D2976"/>
    <w:multiLevelType w:val="hybridMultilevel"/>
    <w:tmpl w:val="A44EEFF4"/>
    <w:lvl w:ilvl="0" w:tplc="E468E85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63E2C63"/>
    <w:multiLevelType w:val="hybridMultilevel"/>
    <w:tmpl w:val="FF40E1AE"/>
    <w:lvl w:ilvl="0" w:tplc="53A8C1FA">
      <w:start w:val="1"/>
      <w:numFmt w:val="bullet"/>
      <w:lvlText w:val=""/>
      <w:lvlJc w:val="left"/>
      <w:pPr>
        <w:ind w:left="360" w:hanging="36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E7B3214"/>
    <w:multiLevelType w:val="hybridMultilevel"/>
    <w:tmpl w:val="7840BAB4"/>
    <w:lvl w:ilvl="0" w:tplc="DA2A1292">
      <w:start w:val="1"/>
      <w:numFmt w:val="aiueoFullWidth"/>
      <w:lvlText w:val="（%1）"/>
      <w:lvlJc w:val="left"/>
      <w:pPr>
        <w:ind w:left="420" w:hanging="420"/>
      </w:pPr>
      <w:rPr>
        <w:rFonts w:hint="eastAsia"/>
      </w:rPr>
    </w:lvl>
    <w:lvl w:ilvl="1" w:tplc="ABDCA77A">
      <w:start w:val="1"/>
      <w:numFmt w:val="aiueoFullWidth"/>
      <w:lvlText w:val="（%2）"/>
      <w:lvlJc w:val="left"/>
      <w:pPr>
        <w:ind w:left="1140" w:hanging="720"/>
      </w:pPr>
      <w:rPr>
        <w:rFonts w:hint="eastAsia"/>
      </w:rPr>
    </w:lvl>
    <w:lvl w:ilvl="2" w:tplc="060C52BC">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FC5020"/>
    <w:multiLevelType w:val="hybridMultilevel"/>
    <w:tmpl w:val="37EA69C8"/>
    <w:lvl w:ilvl="0" w:tplc="E468E85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9"/>
  </w:num>
  <w:num w:numId="4">
    <w:abstractNumId w:val="0"/>
  </w:num>
  <w:num w:numId="5">
    <w:abstractNumId w:val="14"/>
  </w:num>
  <w:num w:numId="6">
    <w:abstractNumId w:val="10"/>
  </w:num>
  <w:num w:numId="7">
    <w:abstractNumId w:val="4"/>
  </w:num>
  <w:num w:numId="8">
    <w:abstractNumId w:val="13"/>
  </w:num>
  <w:num w:numId="9">
    <w:abstractNumId w:val="11"/>
  </w:num>
  <w:num w:numId="10">
    <w:abstractNumId w:val="2"/>
  </w:num>
  <w:num w:numId="11">
    <w:abstractNumId w:val="16"/>
  </w:num>
  <w:num w:numId="12">
    <w:abstractNumId w:val="7"/>
  </w:num>
  <w:num w:numId="13">
    <w:abstractNumId w:val="15"/>
  </w:num>
  <w:num w:numId="14">
    <w:abstractNumId w:val="8"/>
  </w:num>
  <w:num w:numId="15">
    <w:abstractNumId w:val="1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B0"/>
    <w:rsid w:val="00022DFC"/>
    <w:rsid w:val="002D6D6B"/>
    <w:rsid w:val="00393F30"/>
    <w:rsid w:val="004F48FA"/>
    <w:rsid w:val="00532C34"/>
    <w:rsid w:val="00667AB0"/>
    <w:rsid w:val="008D4FAF"/>
    <w:rsid w:val="009D72B3"/>
    <w:rsid w:val="00AF7D33"/>
    <w:rsid w:val="00B96252"/>
    <w:rsid w:val="00D16242"/>
    <w:rsid w:val="00DB0D49"/>
    <w:rsid w:val="00E15977"/>
    <w:rsid w:val="00FA4537"/>
    <w:rsid w:val="00FF0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FAF"/>
    <w:pPr>
      <w:ind w:leftChars="400" w:left="840"/>
    </w:pPr>
  </w:style>
  <w:style w:type="paragraph" w:styleId="a4">
    <w:name w:val="header"/>
    <w:basedOn w:val="a"/>
    <w:link w:val="a5"/>
    <w:uiPriority w:val="99"/>
    <w:unhideWhenUsed/>
    <w:rsid w:val="00FA4537"/>
    <w:pPr>
      <w:tabs>
        <w:tab w:val="center" w:pos="4252"/>
        <w:tab w:val="right" w:pos="8504"/>
      </w:tabs>
      <w:snapToGrid w:val="0"/>
    </w:pPr>
  </w:style>
  <w:style w:type="character" w:customStyle="1" w:styleId="a5">
    <w:name w:val="ヘッダー (文字)"/>
    <w:basedOn w:val="a0"/>
    <w:link w:val="a4"/>
    <w:uiPriority w:val="99"/>
    <w:rsid w:val="00FA4537"/>
  </w:style>
  <w:style w:type="paragraph" w:styleId="a6">
    <w:name w:val="footer"/>
    <w:basedOn w:val="a"/>
    <w:link w:val="a7"/>
    <w:uiPriority w:val="99"/>
    <w:unhideWhenUsed/>
    <w:rsid w:val="00FA4537"/>
    <w:pPr>
      <w:tabs>
        <w:tab w:val="center" w:pos="4252"/>
        <w:tab w:val="right" w:pos="8504"/>
      </w:tabs>
      <w:snapToGrid w:val="0"/>
    </w:pPr>
  </w:style>
  <w:style w:type="character" w:customStyle="1" w:styleId="a7">
    <w:name w:val="フッター (文字)"/>
    <w:basedOn w:val="a0"/>
    <w:link w:val="a6"/>
    <w:uiPriority w:val="99"/>
    <w:rsid w:val="00FA4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FAF"/>
    <w:pPr>
      <w:ind w:leftChars="400" w:left="840"/>
    </w:pPr>
  </w:style>
  <w:style w:type="paragraph" w:styleId="a4">
    <w:name w:val="header"/>
    <w:basedOn w:val="a"/>
    <w:link w:val="a5"/>
    <w:uiPriority w:val="99"/>
    <w:unhideWhenUsed/>
    <w:rsid w:val="00FA4537"/>
    <w:pPr>
      <w:tabs>
        <w:tab w:val="center" w:pos="4252"/>
        <w:tab w:val="right" w:pos="8504"/>
      </w:tabs>
      <w:snapToGrid w:val="0"/>
    </w:pPr>
  </w:style>
  <w:style w:type="character" w:customStyle="1" w:styleId="a5">
    <w:name w:val="ヘッダー (文字)"/>
    <w:basedOn w:val="a0"/>
    <w:link w:val="a4"/>
    <w:uiPriority w:val="99"/>
    <w:rsid w:val="00FA4537"/>
  </w:style>
  <w:style w:type="paragraph" w:styleId="a6">
    <w:name w:val="footer"/>
    <w:basedOn w:val="a"/>
    <w:link w:val="a7"/>
    <w:uiPriority w:val="99"/>
    <w:unhideWhenUsed/>
    <w:rsid w:val="00FA4537"/>
    <w:pPr>
      <w:tabs>
        <w:tab w:val="center" w:pos="4252"/>
        <w:tab w:val="right" w:pos="8504"/>
      </w:tabs>
      <w:snapToGrid w:val="0"/>
    </w:pPr>
  </w:style>
  <w:style w:type="character" w:customStyle="1" w:styleId="a7">
    <w:name w:val="フッター (文字)"/>
    <w:basedOn w:val="a0"/>
    <w:link w:val="a6"/>
    <w:uiPriority w:val="99"/>
    <w:rsid w:val="00FA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7</cp:revision>
  <cp:lastPrinted>2014-07-07T07:30:00Z</cp:lastPrinted>
  <dcterms:created xsi:type="dcterms:W3CDTF">2014-07-07T06:19:00Z</dcterms:created>
  <dcterms:modified xsi:type="dcterms:W3CDTF">2014-07-09T11:03:00Z</dcterms:modified>
</cp:coreProperties>
</file>