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C7" w:rsidRDefault="00910C81" w:rsidP="00910C81">
      <w:pPr>
        <w:jc w:val="center"/>
        <w:rPr>
          <w:rFonts w:asciiTheme="majorEastAsia" w:eastAsiaTheme="majorEastAsia" w:hAnsiTheme="majorEastAsia"/>
          <w:szCs w:val="21"/>
        </w:rPr>
      </w:pPr>
      <w:r w:rsidRPr="005E17D3">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1B679780" wp14:editId="702BBC99">
                <wp:simplePos x="0" y="0"/>
                <wp:positionH relativeFrom="column">
                  <wp:posOffset>5076825</wp:posOffset>
                </wp:positionH>
                <wp:positionV relativeFrom="paragraph">
                  <wp:posOffset>-390525</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910C81" w:rsidRPr="00000FDC" w:rsidRDefault="00C51886"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30.7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KcsC&#10;FN8AAAAMAQAADwAAAGRycy9kb3ducmV2LnhtbEyPwU7DMBBE70j8g7VIXKrWCSiBhDgVVOqJU0O5&#10;u/GSRMTrYLtt+vdsT3Cb0T7NzlTr2Y7ihD4MjhSkqwQEUuvMQJ2C/cd2+QwiRE1Gj45QwQUDrOvb&#10;m0qXxp1ph6cmdoJDKJRaQR/jVEoZ2h6tDis3IfHty3mrI1vfSeP1mcPtKB+SJJdWD8Qfej3hpsf2&#10;uzlaBflP87h4/zQL2l22b761mdnsM6Xu7+bXFxAR5/gHw7U+V4eaOx3ckUwQo4KnosgYVbDMUxZX&#10;IklTnndglRU5yLqS/0fUvwAAAP//AwBQSwECLQAUAAYACAAAACEAtoM4kv4AAADhAQAAEwAAAAAA&#10;AAAAAAAAAAAAAAAAW0NvbnRlbnRfVHlwZXNdLnhtbFBLAQItABQABgAIAAAAIQA4/SH/1gAAAJQB&#10;AAALAAAAAAAAAAAAAAAAAC8BAABfcmVscy8ucmVsc1BLAQItABQABgAIAAAAIQBF2JgoQgIAAFgE&#10;AAAOAAAAAAAAAAAAAAAAAC4CAABkcnMvZTJvRG9jLnhtbFBLAQItABQABgAIAAAAIQApywIU3wAA&#10;AAwBAAAPAAAAAAAAAAAAAAAAAJwEAABkcnMvZG93bnJldi54bWxQSwUGAAAAAAQABADzAAAAqAUA&#10;AAAA&#10;">
                <v:textbox style="mso-fit-shape-to-text:t">
                  <w:txbxContent>
                    <w:p w:rsidR="00910C81" w:rsidRPr="00000FDC" w:rsidRDefault="00C51886" w:rsidP="00910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参考資料３</w:t>
                      </w:r>
                    </w:p>
                  </w:txbxContent>
                </v:textbox>
              </v:shape>
            </w:pict>
          </mc:Fallback>
        </mc:AlternateContent>
      </w:r>
      <w:r w:rsidR="00C046C7" w:rsidRPr="00D51291">
        <w:rPr>
          <w:rFonts w:asciiTheme="majorEastAsia" w:eastAsiaTheme="majorEastAsia" w:hAnsiTheme="majorEastAsia" w:hint="eastAsia"/>
          <w:szCs w:val="21"/>
        </w:rPr>
        <w:t>関係法令</w:t>
      </w:r>
      <w:r w:rsidR="001116AB">
        <w:rPr>
          <w:rFonts w:asciiTheme="majorEastAsia" w:eastAsiaTheme="majorEastAsia" w:hAnsiTheme="majorEastAsia" w:hint="eastAsia"/>
          <w:szCs w:val="21"/>
        </w:rPr>
        <w:t>（</w:t>
      </w:r>
      <w:r w:rsidR="00DD4AC9">
        <w:rPr>
          <w:rFonts w:asciiTheme="majorEastAsia" w:eastAsiaTheme="majorEastAsia" w:hAnsiTheme="majorEastAsia" w:hint="eastAsia"/>
          <w:szCs w:val="21"/>
        </w:rPr>
        <w:t>雇用</w:t>
      </w:r>
      <w:r w:rsidR="001116AB">
        <w:rPr>
          <w:rFonts w:asciiTheme="majorEastAsia" w:eastAsiaTheme="majorEastAsia" w:hAnsiTheme="majorEastAsia" w:hint="eastAsia"/>
          <w:szCs w:val="21"/>
        </w:rPr>
        <w:t>）分野</w:t>
      </w:r>
    </w:p>
    <w:p w:rsidR="007A35BC" w:rsidRPr="00435FA0" w:rsidRDefault="007A35BC" w:rsidP="007A35BC">
      <w:pPr>
        <w:ind w:leftChars="-67" w:left="-141"/>
        <w:jc w:val="center"/>
        <w:rPr>
          <w:rFonts w:asciiTheme="majorEastAsia" w:eastAsiaTheme="majorEastAsia" w:hAnsiTheme="majorEastAsia"/>
          <w:szCs w:val="21"/>
        </w:rPr>
      </w:pPr>
    </w:p>
    <w:p w:rsidR="003B0BD2" w:rsidRPr="00E75AD2" w:rsidRDefault="003B0BD2" w:rsidP="003B0BD2">
      <w:pPr>
        <w:pStyle w:val="a8"/>
        <w:numPr>
          <w:ilvl w:val="0"/>
          <w:numId w:val="1"/>
        </w:numPr>
        <w:ind w:leftChars="0" w:left="424" w:hangingChars="202" w:hanging="424"/>
        <w:rPr>
          <w:rFonts w:asciiTheme="majorEastAsia" w:eastAsiaTheme="majorEastAsia" w:hAnsiTheme="majorEastAsia"/>
          <w:szCs w:val="21"/>
        </w:rPr>
      </w:pPr>
      <w:r w:rsidRPr="00E364EF">
        <w:rPr>
          <w:rFonts w:asciiTheme="majorEastAsia" w:eastAsiaTheme="majorEastAsia" w:hAnsiTheme="majorEastAsia"/>
          <w:bCs/>
          <w:szCs w:val="21"/>
        </w:rPr>
        <w:t>障害者の権利に関する条約</w:t>
      </w:r>
    </w:p>
    <w:p w:rsidR="003B0BD2" w:rsidRDefault="003B0BD2" w:rsidP="003B0BD2">
      <w:pPr>
        <w:pStyle w:val="a8"/>
        <w:ind w:leftChars="0" w:left="424"/>
        <w:rPr>
          <w:rFonts w:asciiTheme="minorEastAsia" w:hAnsiTheme="minorEastAsia"/>
          <w:bCs/>
          <w:szCs w:val="21"/>
        </w:rPr>
      </w:pPr>
      <w:r w:rsidRPr="001F21EB">
        <w:rPr>
          <w:rFonts w:asciiTheme="minorEastAsia" w:hAnsiTheme="minorEastAsia"/>
          <w:bCs/>
          <w:szCs w:val="21"/>
        </w:rPr>
        <w:t>第二条　定義</w:t>
      </w:r>
    </w:p>
    <w:p w:rsidR="00DD4AC9" w:rsidRDefault="003B0BD2" w:rsidP="00DD4AC9">
      <w:pPr>
        <w:pStyle w:val="a8"/>
        <w:ind w:leftChars="0" w:left="424" w:firstLineChars="100" w:firstLine="210"/>
        <w:rPr>
          <w:szCs w:val="21"/>
        </w:rPr>
      </w:pPr>
      <w:r w:rsidRPr="00DF06A9">
        <w:rPr>
          <w:szCs w:val="21"/>
        </w:rPr>
        <w:t>「障害に基づく差別」とは、障害に基づくあらゆる区別、排除又は制限であって、政治的、経済的、社会的、文化的、市民的その他のあらゆる分野において、他の者との平等を基礎として全ての人権及び基本的自由を認識し、享有し、又は行使することを害し、又は妨げる目的又は効果を有するものをいう。障害に基づく差別には、あらゆる形態の差別（合理的配慮の否定を含む。）を含む。</w:t>
      </w:r>
      <w:r w:rsidRPr="00DF06A9">
        <w:rPr>
          <w:szCs w:val="21"/>
        </w:rPr>
        <w:br/>
      </w:r>
      <w:r>
        <w:rPr>
          <w:rFonts w:hint="eastAsia"/>
          <w:szCs w:val="21"/>
        </w:rPr>
        <w:t xml:space="preserve">　</w:t>
      </w:r>
      <w:r w:rsidRPr="00DF06A9">
        <w:rPr>
          <w:szCs w:val="21"/>
        </w:rPr>
        <w:t>「合理的配慮」とは、障害者が他の者との平等を基礎として全ての人権及び基本的自由を享有し、又は行使することを確保するための必要かつ適当な変更及び調整であって、特定の場合において必要とされるも</w:t>
      </w:r>
      <w:r w:rsidR="00DD4AC9">
        <w:rPr>
          <w:szCs w:val="21"/>
        </w:rPr>
        <w:t>のであり、かつ、均衡を失した又は過度の負担を課さないものをいう</w:t>
      </w:r>
      <w:r w:rsidR="00DD4AC9">
        <w:rPr>
          <w:rFonts w:hint="eastAsia"/>
          <w:szCs w:val="21"/>
        </w:rPr>
        <w:t>。</w:t>
      </w:r>
    </w:p>
    <w:p w:rsidR="00DD4AC9" w:rsidRDefault="00DD4AC9" w:rsidP="00DD4AC9">
      <w:pPr>
        <w:ind w:firstLineChars="200" w:firstLine="420"/>
        <w:rPr>
          <w:szCs w:val="21"/>
        </w:rPr>
      </w:pPr>
      <w:r w:rsidRPr="00DD4AC9">
        <w:rPr>
          <w:rFonts w:asciiTheme="minorEastAsia" w:hAnsiTheme="minorEastAsia"/>
          <w:bCs/>
          <w:szCs w:val="21"/>
        </w:rPr>
        <w:t>第二十七条　労働及び雇用</w:t>
      </w:r>
    </w:p>
    <w:p w:rsidR="00DD4AC9" w:rsidRDefault="00DD4AC9" w:rsidP="00DD4AC9">
      <w:pPr>
        <w:ind w:leftChars="200" w:left="424" w:hangingChars="2" w:hanging="4"/>
        <w:rPr>
          <w:szCs w:val="21"/>
        </w:rPr>
      </w:pPr>
      <w:r w:rsidRPr="00DD4AC9">
        <w:rPr>
          <w:rFonts w:asciiTheme="minorEastAsia" w:hAnsiTheme="minorEastAsia"/>
          <w:bCs/>
          <w:szCs w:val="21"/>
        </w:rPr>
        <w:t xml:space="preserve">1　締約国は、障害者が他の者との平等を基礎として労働についての権利を有することを認める。この権利には、障害者に対して開放され、障害者を包容し、及び障害者にとって利用しやすい労働市場及び労働環境において、障害者が自由に選択し、又は承諾する労働によって生計を立てる機会を有する権利を含む。締約国は、特に次のことのための適当な措置（立法によるものを含む。）をとることにより、労働についての障害者（雇用の過程で障害を有することとなった者を含む。）の権利が実現されることを保障し、及び促進する。 </w:t>
      </w:r>
    </w:p>
    <w:p w:rsidR="00DD4AC9" w:rsidRDefault="00DD4AC9" w:rsidP="00DD4AC9">
      <w:pPr>
        <w:ind w:leftChars="200" w:left="424" w:hangingChars="2" w:hanging="4"/>
        <w:rPr>
          <w:szCs w:val="21"/>
        </w:rPr>
      </w:pPr>
      <w:r w:rsidRPr="00DD4AC9">
        <w:rPr>
          <w:rFonts w:asciiTheme="minorEastAsia" w:hAnsiTheme="minorEastAsia"/>
          <w:bCs/>
          <w:szCs w:val="21"/>
        </w:rPr>
        <w:t>（a）　あらゆる形態の雇用に係る全ての事項（募集、採用及び雇用の条件、雇用の継続、昇進並びに安全かつ健康的な作業条件を含む。）に関し、障害に基づく差別を禁止すること。</w:t>
      </w:r>
    </w:p>
    <w:p w:rsidR="00DD4AC9" w:rsidRDefault="00DD4AC9" w:rsidP="00DD4AC9">
      <w:pPr>
        <w:ind w:leftChars="200" w:left="424" w:hangingChars="2" w:hanging="4"/>
        <w:rPr>
          <w:szCs w:val="21"/>
        </w:rPr>
      </w:pPr>
      <w:r w:rsidRPr="00DD4AC9">
        <w:rPr>
          <w:rFonts w:asciiTheme="minorEastAsia" w:hAnsiTheme="minorEastAsia"/>
          <w:bCs/>
          <w:szCs w:val="21"/>
        </w:rPr>
        <w:t>（b）　他の者との平等を基礎として、公正かつ良好な労働条件（均等な機会及び同一価値の労働についての同一報酬を含む。）、安全かつ健康的な作業条件（嫌がらせからの保護を含む。）及び苦情に対する救済についての障害者の権利を保護すること。</w:t>
      </w:r>
    </w:p>
    <w:p w:rsidR="00DD4AC9" w:rsidRDefault="00DD4AC9" w:rsidP="00DD4AC9">
      <w:pPr>
        <w:ind w:leftChars="200" w:left="424" w:hangingChars="2" w:hanging="4"/>
        <w:rPr>
          <w:szCs w:val="21"/>
        </w:rPr>
      </w:pPr>
      <w:r w:rsidRPr="00DD4AC9">
        <w:rPr>
          <w:rFonts w:asciiTheme="minorEastAsia" w:hAnsiTheme="minorEastAsia"/>
          <w:bCs/>
          <w:szCs w:val="21"/>
        </w:rPr>
        <w:t>（c）　障害者が他の者との平等を基礎として労働及び労働組合についての権利を行使することができることを確保すること。</w:t>
      </w:r>
    </w:p>
    <w:p w:rsidR="00DD4AC9" w:rsidRDefault="00DD4AC9" w:rsidP="00DD4AC9">
      <w:pPr>
        <w:ind w:leftChars="200" w:left="424" w:hangingChars="2" w:hanging="4"/>
        <w:rPr>
          <w:szCs w:val="21"/>
        </w:rPr>
      </w:pPr>
      <w:r w:rsidRPr="00DD4AC9">
        <w:rPr>
          <w:rFonts w:asciiTheme="minorEastAsia" w:hAnsiTheme="minorEastAsia"/>
          <w:bCs/>
          <w:szCs w:val="21"/>
        </w:rPr>
        <w:t>（d）　障害者が技術及び職業の指導に関する一般的な計画、職業紹介サービス並びに職業訓練及び継続的な訓練を利用する効果的な機会を有することを可能とすること。</w:t>
      </w:r>
    </w:p>
    <w:p w:rsidR="00DD4AC9" w:rsidRDefault="00DD4AC9" w:rsidP="00DD4AC9">
      <w:pPr>
        <w:ind w:leftChars="200" w:left="424" w:hangingChars="2" w:hanging="4"/>
        <w:rPr>
          <w:szCs w:val="21"/>
        </w:rPr>
      </w:pPr>
      <w:r w:rsidRPr="00DD4AC9">
        <w:rPr>
          <w:rFonts w:asciiTheme="minorEastAsia" w:hAnsiTheme="minorEastAsia"/>
          <w:bCs/>
          <w:szCs w:val="21"/>
        </w:rPr>
        <w:t>（e）　労働市場において障害者の雇用機会の増大を図り、及びその昇進を促進すること並びに職業を求め、これに就き、これを継続し、及びこれに復帰する際の支援を促進すること。</w:t>
      </w:r>
    </w:p>
    <w:p w:rsidR="00DD4AC9" w:rsidRDefault="00DD4AC9" w:rsidP="00DD4AC9">
      <w:pPr>
        <w:ind w:leftChars="200" w:left="424" w:hangingChars="2" w:hanging="4"/>
        <w:rPr>
          <w:szCs w:val="21"/>
        </w:rPr>
      </w:pPr>
      <w:r w:rsidRPr="00DD4AC9">
        <w:rPr>
          <w:rFonts w:asciiTheme="minorEastAsia" w:hAnsiTheme="minorEastAsia"/>
          <w:bCs/>
          <w:szCs w:val="21"/>
        </w:rPr>
        <w:t>（f）　自営活動の機会、起業家精神、協同組合の発展及び自己の事業の開始を促進すること。</w:t>
      </w:r>
    </w:p>
    <w:p w:rsidR="00DD4AC9" w:rsidRDefault="00DD4AC9" w:rsidP="00DD4AC9">
      <w:pPr>
        <w:ind w:leftChars="200" w:left="424" w:hangingChars="2" w:hanging="4"/>
        <w:rPr>
          <w:szCs w:val="21"/>
        </w:rPr>
      </w:pPr>
      <w:r w:rsidRPr="00DD4AC9">
        <w:rPr>
          <w:rFonts w:asciiTheme="minorEastAsia" w:hAnsiTheme="minorEastAsia"/>
          <w:bCs/>
          <w:szCs w:val="21"/>
        </w:rPr>
        <w:t>（g）　公的部門において障害者を雇用すること。</w:t>
      </w:r>
    </w:p>
    <w:p w:rsidR="00DD4AC9" w:rsidRDefault="00DD4AC9" w:rsidP="00DD4AC9">
      <w:pPr>
        <w:ind w:leftChars="200" w:left="424" w:hangingChars="2" w:hanging="4"/>
        <w:rPr>
          <w:szCs w:val="21"/>
        </w:rPr>
      </w:pPr>
      <w:r w:rsidRPr="00DD4AC9">
        <w:rPr>
          <w:rFonts w:asciiTheme="minorEastAsia" w:hAnsiTheme="minorEastAsia"/>
          <w:bCs/>
          <w:szCs w:val="21"/>
        </w:rPr>
        <w:t>（h）　適当な政策及び措置（積極的差別是正措置、奨励措置その他の措置を含めることができる。）を通じて、民間部門における障害者の雇用を促進すること。</w:t>
      </w:r>
    </w:p>
    <w:p w:rsidR="00DD4AC9" w:rsidRDefault="00DD4AC9" w:rsidP="00DD4AC9">
      <w:pPr>
        <w:ind w:leftChars="200" w:left="424" w:hangingChars="2" w:hanging="4"/>
        <w:rPr>
          <w:szCs w:val="21"/>
        </w:rPr>
      </w:pPr>
      <w:r w:rsidRPr="00DD4AC9">
        <w:rPr>
          <w:rFonts w:asciiTheme="minorEastAsia" w:hAnsiTheme="minorEastAsia"/>
          <w:bCs/>
          <w:szCs w:val="21"/>
        </w:rPr>
        <w:t>（</w:t>
      </w:r>
      <w:proofErr w:type="spellStart"/>
      <w:r w:rsidRPr="00DD4AC9">
        <w:rPr>
          <w:rFonts w:asciiTheme="minorEastAsia" w:hAnsiTheme="minorEastAsia"/>
          <w:bCs/>
          <w:szCs w:val="21"/>
        </w:rPr>
        <w:t>i</w:t>
      </w:r>
      <w:proofErr w:type="spellEnd"/>
      <w:r w:rsidRPr="00DD4AC9">
        <w:rPr>
          <w:rFonts w:asciiTheme="minorEastAsia" w:hAnsiTheme="minorEastAsia"/>
          <w:bCs/>
          <w:szCs w:val="21"/>
        </w:rPr>
        <w:t>）　職場において合理的配慮が障害者に提供されることを確保すること。</w:t>
      </w:r>
    </w:p>
    <w:p w:rsidR="00DD4AC9" w:rsidRDefault="00DD4AC9" w:rsidP="00DD4AC9">
      <w:pPr>
        <w:ind w:leftChars="200" w:left="424" w:hangingChars="2" w:hanging="4"/>
        <w:rPr>
          <w:szCs w:val="21"/>
        </w:rPr>
      </w:pPr>
      <w:r w:rsidRPr="00DD4AC9">
        <w:rPr>
          <w:rFonts w:asciiTheme="minorEastAsia" w:hAnsiTheme="minorEastAsia"/>
          <w:bCs/>
          <w:szCs w:val="21"/>
        </w:rPr>
        <w:t>（j）　開かれた労働市場において障害者が職業経験を得ることを促進すること。</w:t>
      </w:r>
    </w:p>
    <w:p w:rsidR="00DD4AC9" w:rsidRDefault="00DD4AC9" w:rsidP="00DD4AC9">
      <w:pPr>
        <w:ind w:leftChars="200" w:left="424" w:hangingChars="2" w:hanging="4"/>
        <w:rPr>
          <w:szCs w:val="21"/>
        </w:rPr>
      </w:pPr>
      <w:r w:rsidRPr="00DD4AC9">
        <w:rPr>
          <w:rFonts w:asciiTheme="minorEastAsia" w:hAnsiTheme="minorEastAsia"/>
          <w:bCs/>
          <w:szCs w:val="21"/>
        </w:rPr>
        <w:t>（k）　障害者の職業リハビリテーション、職業の保持及び職場復帰計画を促進すること。</w:t>
      </w:r>
    </w:p>
    <w:p w:rsidR="00DD4AC9" w:rsidRPr="00DD4AC9" w:rsidRDefault="00DD4AC9" w:rsidP="00DD4AC9">
      <w:pPr>
        <w:ind w:leftChars="200" w:left="424" w:hangingChars="2" w:hanging="4"/>
        <w:rPr>
          <w:szCs w:val="21"/>
        </w:rPr>
      </w:pPr>
      <w:r w:rsidRPr="00DD4AC9">
        <w:rPr>
          <w:rFonts w:asciiTheme="minorEastAsia" w:hAnsiTheme="minorEastAsia"/>
          <w:bCs/>
          <w:szCs w:val="21"/>
        </w:rPr>
        <w:t>2　締約国は、障害者が、奴隷の状態又は隷属状態に置かれないこと及び他の者との平等を基礎として強制労働から保護されることを確保する。</w:t>
      </w:r>
    </w:p>
    <w:p w:rsidR="003B0BD2" w:rsidRPr="00DD4AC9" w:rsidRDefault="003B0BD2" w:rsidP="003B0BD2">
      <w:pPr>
        <w:rPr>
          <w:rFonts w:asciiTheme="majorEastAsia" w:eastAsiaTheme="majorEastAsia" w:hAnsiTheme="majorEastAsia"/>
          <w:szCs w:val="21"/>
        </w:rPr>
      </w:pPr>
    </w:p>
    <w:p w:rsidR="00DD4AC9" w:rsidRPr="00DD4AC9" w:rsidRDefault="003B0BD2" w:rsidP="00DD4AC9">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bCs/>
          <w:szCs w:val="21"/>
        </w:rPr>
        <w:t>障害者基本法</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（職業相談等）</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第十八条 　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 </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２ 　国及び地方公共団体は、障害者の多様な就業の機会の確保を図るため、前項に規定する施策に関する調査及び研究を促進しなければならない。 </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３ 　国及び地方公共団体は、障害者の地域社会における作業活動の場及び障害者の職業訓練のための施設の拡充を図るため、これに必要な費用の助成その他必要な施策を講じなければならない。 </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（雇用の促進等） </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第十九条 　国及び地方公共団体は、国及び地方公共団体並びに事業者における障害者の雇用を促進するため、障害者の優先雇用その他の施策を講じなければならない。 </w:t>
      </w:r>
    </w:p>
    <w:p w:rsid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 xml:space="preserve">２ 　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 </w:t>
      </w:r>
    </w:p>
    <w:p w:rsidR="003B0BD2"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３ 　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DD4AC9" w:rsidRPr="00DD4AC9" w:rsidRDefault="00DD4AC9" w:rsidP="00DD4AC9">
      <w:pPr>
        <w:pStyle w:val="a8"/>
        <w:ind w:leftChars="0" w:left="426"/>
        <w:rPr>
          <w:rFonts w:asciiTheme="majorEastAsia" w:eastAsiaTheme="majorEastAsia" w:hAnsiTheme="majorEastAsia"/>
          <w:szCs w:val="21"/>
        </w:rPr>
      </w:pPr>
    </w:p>
    <w:p w:rsidR="003B0BD2" w:rsidRPr="00E364EF" w:rsidRDefault="003B0BD2" w:rsidP="003B0BD2">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szCs w:val="21"/>
        </w:rPr>
        <w:t>障害を理由とする差別の解消の推進に関する法律</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szCs w:val="21"/>
        </w:rPr>
        <w:t>（行政機関等における障害を理由とする差別の禁止）</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szCs w:val="21"/>
        </w:rPr>
        <w:t>第七条　行政機関等は、その事務又は事業を行うに当たり、障害を理由として障害者でない者と不当な差別的取扱いをすることにより、障害者の権利利益を侵害してはならない。</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szCs w:val="21"/>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E364EF">
        <w:rPr>
          <w:rFonts w:asciiTheme="minorEastAsia" w:hAnsiTheme="minorEastAsia" w:hint="eastAsia"/>
          <w:szCs w:val="21"/>
        </w:rPr>
        <w:t>。</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szCs w:val="21"/>
        </w:rPr>
        <w:t>（事業者における障害を理由とする差別の禁止）</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szCs w:val="21"/>
        </w:rPr>
        <w:t>第八条　事業者は、その事業を行うに当たり、障害を理由として障害者でない者と不当な差別的取扱いをすることにより、障害者の権利利益を侵害してはならない。</w:t>
      </w:r>
    </w:p>
    <w:p w:rsidR="00DD4AC9" w:rsidRDefault="003B0BD2" w:rsidP="00DD4AC9">
      <w:pPr>
        <w:pStyle w:val="a8"/>
        <w:ind w:leftChars="0" w:left="426"/>
        <w:rPr>
          <w:rFonts w:asciiTheme="minorEastAsia" w:hAnsiTheme="minorEastAsia"/>
          <w:szCs w:val="21"/>
        </w:rPr>
      </w:pPr>
      <w:r w:rsidRPr="00E364EF">
        <w:rPr>
          <w:rFonts w:asciiTheme="minorEastAsia" w:hAnsiTheme="minorEastAsia"/>
          <w:szCs w:val="21"/>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DD4AC9" w:rsidRP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（事業主による措置に関する特例）</w:t>
      </w:r>
    </w:p>
    <w:p w:rsidR="00DD4AC9" w:rsidRPr="00DD4AC9" w:rsidRDefault="00DD4AC9" w:rsidP="00DD4AC9">
      <w:pPr>
        <w:pStyle w:val="a8"/>
        <w:ind w:leftChars="0" w:left="426"/>
        <w:rPr>
          <w:rFonts w:asciiTheme="minorEastAsia" w:hAnsiTheme="minorEastAsia"/>
          <w:szCs w:val="21"/>
        </w:rPr>
      </w:pPr>
      <w:r w:rsidRPr="00DD4AC9">
        <w:rPr>
          <w:rFonts w:asciiTheme="minorEastAsia" w:hAnsiTheme="minorEastAsia" w:hint="eastAsia"/>
          <w:szCs w:val="21"/>
        </w:rPr>
        <w:t>第十三条　行政機関等及び事業者が事業主としての立場で労働者に対して行う障害を理由とする差</w:t>
      </w:r>
      <w:r w:rsidRPr="00DD4AC9">
        <w:rPr>
          <w:rFonts w:asciiTheme="minorEastAsia" w:hAnsiTheme="minorEastAsia" w:hint="eastAsia"/>
          <w:szCs w:val="21"/>
        </w:rPr>
        <w:lastRenderedPageBreak/>
        <w:t>別を解消するための措置については、障害者の雇用の促進等に関する法律（昭和三十五年法律第百二十三号）の定めるところによる。</w:t>
      </w:r>
    </w:p>
    <w:p w:rsidR="00DD4AC9" w:rsidRPr="00DD4AC9" w:rsidRDefault="00DD4AC9" w:rsidP="00DD4AC9">
      <w:pPr>
        <w:rPr>
          <w:rFonts w:asciiTheme="majorEastAsia" w:eastAsiaTheme="majorEastAsia" w:hAnsiTheme="majorEastAsia"/>
          <w:szCs w:val="21"/>
        </w:rPr>
      </w:pPr>
    </w:p>
    <w:p w:rsidR="00924911" w:rsidRPr="00924911" w:rsidRDefault="00924911" w:rsidP="00924911">
      <w:pPr>
        <w:pStyle w:val="a8"/>
        <w:numPr>
          <w:ilvl w:val="0"/>
          <w:numId w:val="1"/>
        </w:numPr>
        <w:ind w:leftChars="0" w:left="426" w:hanging="426"/>
        <w:rPr>
          <w:rFonts w:asciiTheme="majorEastAsia" w:eastAsiaTheme="majorEastAsia" w:hAnsiTheme="majorEastAsia"/>
          <w:szCs w:val="21"/>
        </w:rPr>
      </w:pPr>
      <w:r w:rsidRPr="00924911">
        <w:rPr>
          <w:rFonts w:asciiTheme="majorEastAsia" w:eastAsiaTheme="majorEastAsia" w:hAnsiTheme="majorEastAsia" w:hint="eastAsia"/>
          <w:szCs w:val="21"/>
        </w:rPr>
        <w:t>障害者の雇用の促進等に関する法律</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（障害者に対する差別の禁止）</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第三十四条　事業主は、労働者の募集及び採用について、障害者に対して、障害者でない者と均等な機会を与えなければならない。</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第三十五条</w:t>
      </w:r>
      <w:r>
        <w:rPr>
          <w:rFonts w:asciiTheme="minorEastAsia" w:hAnsiTheme="minorEastAsia" w:hint="eastAsia"/>
          <w:szCs w:val="21"/>
        </w:rPr>
        <w:t xml:space="preserve">　</w:t>
      </w:r>
      <w:r w:rsidRPr="00924911">
        <w:rPr>
          <w:rFonts w:asciiTheme="minorEastAsia" w:hAnsiTheme="minorEastAsia" w:hint="eastAsia"/>
          <w:szCs w:val="21"/>
        </w:rPr>
        <w:t>事業主は、賃金の決定、教育訓練の実施、福利厚生施設の利用その他の待遇について、労働者が障害者であることを理由として、障害者でない者と不当な差別的取扱いをしてはならない。（障害者に対する差別の禁止に関する指針）</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第三十六条</w:t>
      </w:r>
      <w:r>
        <w:rPr>
          <w:rFonts w:asciiTheme="minorEastAsia" w:hAnsiTheme="minorEastAsia" w:hint="eastAsia"/>
          <w:szCs w:val="21"/>
        </w:rPr>
        <w:t xml:space="preserve">　</w:t>
      </w:r>
      <w:r w:rsidRPr="00924911">
        <w:rPr>
          <w:rFonts w:asciiTheme="minorEastAsia" w:hAnsiTheme="minorEastAsia" w:hint="eastAsia"/>
          <w:szCs w:val="21"/>
        </w:rPr>
        <w:t>厚生労働大臣は、前二条の規定に定める事項に関し、事業主が適切に対処するために必要な指針（次項において「差別の禁止に関する指針」という。）を定めるものとする。</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２ 第七条第三項及び第四項の規定は、差別の禁止に関する指針の策定及び変更について準用する。この場合において、同条第三項中「聴くほか、都道府県知事の意見を求める」とあるのは、「聴く」と読み替えるものとする。</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（雇用の分野における障害者と障害者でない者との均等な機会の確保等を図るための措置）</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第三十六条の二　事業主は、労働者の募集及び採用について、障害者と障害者でない者との均等な機会の確保の支障となつている事情を改善するため、労働者の募集及び採用に当たり障害者からの申出により当該障害者の障害の特性に配慮した必要な措置を講じなければならない。ただし、事業主に対して過重な負担を及ぼすこととなるときは、この限りでない。</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第三十六条の三</w:t>
      </w:r>
      <w:r>
        <w:rPr>
          <w:rFonts w:asciiTheme="minorEastAsia" w:hAnsiTheme="minorEastAsia" w:hint="eastAsia"/>
          <w:szCs w:val="21"/>
        </w:rPr>
        <w:t xml:space="preserve">　</w:t>
      </w:r>
      <w:r w:rsidRPr="00924911">
        <w:rPr>
          <w:rFonts w:asciiTheme="minorEastAsia" w:hAnsiTheme="minorEastAsia" w:hint="eastAsia"/>
          <w:szCs w:val="21"/>
        </w:rPr>
        <w:t>事業主は、障害者である労働者について、障害者でない労働者との均等な待遇の確保又は障害者である労働者の有する能力の有効な発揮の支障となつている事情を改善するため、その雇用する障害者である労働者の障害の特性に配慮した職務の円滑な遂行に必要な施設の整備、援助を行う者の配置その他の必要な措置を講じなければならない。ただし、事業主に対して過重な負担を及ぼすこととなるときは、この限りでない。</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第三十六条の四</w:t>
      </w:r>
      <w:r>
        <w:rPr>
          <w:rFonts w:asciiTheme="minorEastAsia" w:hAnsiTheme="minorEastAsia" w:hint="eastAsia"/>
          <w:szCs w:val="21"/>
        </w:rPr>
        <w:t xml:space="preserve">　</w:t>
      </w:r>
      <w:r w:rsidRPr="00924911">
        <w:rPr>
          <w:rFonts w:asciiTheme="minorEastAsia" w:hAnsiTheme="minorEastAsia" w:hint="eastAsia"/>
          <w:szCs w:val="21"/>
        </w:rPr>
        <w:t>事業主は、前二条に規定する措置を講ずるに当たつては、障害者の意向を十分に尊重しなければならない。</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２ 事業主は、前条に規定する措置に関し、その雇用する障害者である労働者からの相談に応じ、適切に対応するために必要な体制の整備その他の雇用管理上必要な措置を講じなければならない。</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（雇用の分野における障害者と障害者でない者との均等な機会の確保等に関する指針）</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第三十六条の五　厚生労働大臣は、前三条の規定に基づき事業主が講ずべき措置に関して、その適切かつ有効な実施を図るために必要な指針（次項において「均等な機会の確保等に関する指針」という。）を定めるものとする。</w:t>
      </w:r>
    </w:p>
    <w:p w:rsidR="00924911" w:rsidRDefault="00924911" w:rsidP="00924911">
      <w:pPr>
        <w:pStyle w:val="a8"/>
        <w:ind w:leftChars="0" w:left="426"/>
        <w:rPr>
          <w:rFonts w:asciiTheme="minorEastAsia" w:hAnsiTheme="minorEastAsia"/>
          <w:szCs w:val="21"/>
        </w:rPr>
      </w:pPr>
      <w:r w:rsidRPr="00924911">
        <w:rPr>
          <w:rFonts w:asciiTheme="minorEastAsia" w:hAnsiTheme="minorEastAsia" w:hint="eastAsia"/>
          <w:szCs w:val="21"/>
        </w:rPr>
        <w:t>２ 第七条第三項及び第四項の規定は、均等な機会の確保等に関する指針の策定及び変更について準用する。この場合において、同条第三項中「聴くほか、都道府県知事の意見を求める」とあるのは、「聴く」と読み替えるものとする。（助言、指導及び勧告）</w:t>
      </w:r>
    </w:p>
    <w:p w:rsidR="00C02983" w:rsidRDefault="00924911" w:rsidP="00C02983">
      <w:pPr>
        <w:pStyle w:val="a8"/>
        <w:ind w:leftChars="0" w:left="426"/>
        <w:rPr>
          <w:rFonts w:asciiTheme="minorEastAsia" w:hAnsiTheme="minorEastAsia"/>
          <w:szCs w:val="21"/>
        </w:rPr>
      </w:pPr>
      <w:r w:rsidRPr="00924911">
        <w:rPr>
          <w:rFonts w:asciiTheme="minorEastAsia" w:hAnsiTheme="minorEastAsia" w:hint="eastAsia"/>
          <w:szCs w:val="21"/>
        </w:rPr>
        <w:t>第三十六条の六</w:t>
      </w:r>
      <w:r>
        <w:rPr>
          <w:rFonts w:asciiTheme="minorEastAsia" w:hAnsiTheme="minorEastAsia" w:hint="eastAsia"/>
          <w:szCs w:val="21"/>
        </w:rPr>
        <w:t xml:space="preserve">　</w:t>
      </w:r>
      <w:r w:rsidRPr="00924911">
        <w:rPr>
          <w:rFonts w:asciiTheme="minorEastAsia" w:hAnsiTheme="minorEastAsia" w:hint="eastAsia"/>
          <w:szCs w:val="21"/>
        </w:rPr>
        <w:t>厚生労働大臣は、第三十四条、第三十五条及び第三十六条の二から第三十六条の四までの規定の施行に関し必要があると認めるときは、事業主に対して、助言、指導又は勧告をすることができる。</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（苦情の自主的解決）</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第七十四条の四</w:t>
      </w:r>
      <w:r w:rsidR="006E4ADB">
        <w:rPr>
          <w:rFonts w:asciiTheme="minorEastAsia" w:hAnsiTheme="minorEastAsia" w:hint="eastAsia"/>
          <w:szCs w:val="21"/>
        </w:rPr>
        <w:t xml:space="preserve">　</w:t>
      </w:r>
      <w:r w:rsidRPr="00C02983">
        <w:rPr>
          <w:rFonts w:asciiTheme="minorEastAsia" w:hAnsiTheme="minorEastAsia" w:hint="eastAsia"/>
          <w:szCs w:val="21"/>
        </w:rPr>
        <w:t>事業主は、第三十五条及び第三十六条の三に定める事項に関し、障害者である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（紛争の解決の促進に関する特例）</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第七十四条の五</w:t>
      </w:r>
      <w:r w:rsidR="006E4ADB">
        <w:rPr>
          <w:rFonts w:asciiTheme="minorEastAsia" w:hAnsiTheme="minorEastAsia" w:hint="eastAsia"/>
          <w:szCs w:val="21"/>
        </w:rPr>
        <w:t xml:space="preserve">　</w:t>
      </w:r>
      <w:r w:rsidRPr="00C02983">
        <w:rPr>
          <w:rFonts w:asciiTheme="minorEastAsia" w:hAnsiTheme="minorEastAsia" w:hint="eastAsia"/>
          <w:szCs w:val="21"/>
        </w:rPr>
        <w:t>第三十四条、第三十五条、第三十六条の二及び第三十六条の三に定める事項についての障害者である労働者と事業主との間の紛争については、個別労働関係紛争の解決の促進に関する法律（平成十三年法律第百十二号）第四条、第五条及び第十二条から第十九条までの規定は適用せず、次条から第七十四条の八までに定めるところによる。</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（紛争の解決の援助）</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第七十四条の六</w:t>
      </w:r>
      <w:r w:rsidR="006E4ADB">
        <w:rPr>
          <w:rFonts w:asciiTheme="minorEastAsia" w:hAnsiTheme="minorEastAsia" w:hint="eastAsia"/>
          <w:szCs w:val="21"/>
        </w:rPr>
        <w:t xml:space="preserve">　</w:t>
      </w:r>
      <w:r w:rsidRPr="00C02983">
        <w:rPr>
          <w:rFonts w:asciiTheme="minorEastAsia" w:hAnsiTheme="minorEastAsia" w:hint="eastAsia"/>
          <w:szCs w:val="21"/>
        </w:rPr>
        <w:t>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２</w:t>
      </w:r>
      <w:r w:rsidRPr="00C02983">
        <w:rPr>
          <w:rFonts w:asciiTheme="minorEastAsia" w:hAnsiTheme="minorEastAsia"/>
          <w:szCs w:val="21"/>
        </w:rPr>
        <w:t xml:space="preserve"> </w:t>
      </w:r>
      <w:r w:rsidRPr="00C02983">
        <w:rPr>
          <w:rFonts w:asciiTheme="minorEastAsia" w:hAnsiTheme="minorEastAsia" w:hint="eastAsia"/>
          <w:szCs w:val="21"/>
        </w:rPr>
        <w:t>事業主は、障害者である労働者が前項の援助を求めたことを理由として、当該労働者に対して解雇その他不利益な取扱いをしてはならない。</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（調停の委任）</w:t>
      </w:r>
    </w:p>
    <w:p w:rsidR="00C02983"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第七十四条の七</w:t>
      </w:r>
      <w:r w:rsidR="006E4ADB">
        <w:rPr>
          <w:rFonts w:asciiTheme="minorEastAsia" w:hAnsiTheme="minorEastAsia" w:hint="eastAsia"/>
          <w:szCs w:val="21"/>
        </w:rPr>
        <w:t xml:space="preserve">　</w:t>
      </w:r>
      <w:bookmarkStart w:id="0" w:name="_GoBack"/>
      <w:bookmarkEnd w:id="0"/>
      <w:r w:rsidRPr="00C02983">
        <w:rPr>
          <w:rFonts w:asciiTheme="minorEastAsia" w:hAnsiTheme="minorEastAsia" w:hint="eastAsia"/>
          <w:szCs w:val="21"/>
        </w:rPr>
        <w:t>都道府県労働局長は、第七十四条の五に規定する紛争（労働者の募集及び採用についての紛争を除く。）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DD4AC9" w:rsidRDefault="00C02983" w:rsidP="00C02983">
      <w:pPr>
        <w:pStyle w:val="a8"/>
        <w:ind w:leftChars="0" w:left="426"/>
        <w:rPr>
          <w:rFonts w:asciiTheme="minorEastAsia" w:hAnsiTheme="minorEastAsia"/>
          <w:szCs w:val="21"/>
        </w:rPr>
      </w:pPr>
      <w:r w:rsidRPr="00C02983">
        <w:rPr>
          <w:rFonts w:asciiTheme="minorEastAsia" w:hAnsiTheme="minorEastAsia" w:hint="eastAsia"/>
          <w:szCs w:val="21"/>
        </w:rPr>
        <w:t>２</w:t>
      </w:r>
      <w:r w:rsidRPr="00C02983">
        <w:rPr>
          <w:rFonts w:asciiTheme="minorEastAsia" w:hAnsiTheme="minorEastAsia"/>
          <w:szCs w:val="21"/>
        </w:rPr>
        <w:t xml:space="preserve"> </w:t>
      </w:r>
      <w:r w:rsidRPr="00C02983">
        <w:rPr>
          <w:rFonts w:asciiTheme="minorEastAsia" w:hAnsiTheme="minorEastAsia" w:hint="eastAsia"/>
          <w:szCs w:val="21"/>
        </w:rPr>
        <w:t>前条第二項の規定は、障害者である労働者が前項の申請をした場合について準用する。</w:t>
      </w:r>
    </w:p>
    <w:p w:rsidR="00C02983" w:rsidRPr="00C02983" w:rsidRDefault="00C02983" w:rsidP="00C02983">
      <w:pPr>
        <w:pStyle w:val="a8"/>
        <w:ind w:leftChars="0" w:left="426"/>
        <w:rPr>
          <w:rFonts w:asciiTheme="minorEastAsia" w:hAnsiTheme="minorEastAsia"/>
          <w:szCs w:val="21"/>
        </w:rPr>
      </w:pPr>
    </w:p>
    <w:p w:rsidR="003B0BD2" w:rsidRPr="00E364EF" w:rsidRDefault="003B0BD2" w:rsidP="003B0BD2">
      <w:pPr>
        <w:pStyle w:val="a8"/>
        <w:numPr>
          <w:ilvl w:val="0"/>
          <w:numId w:val="1"/>
        </w:numPr>
        <w:ind w:leftChars="0" w:left="426" w:hanging="426"/>
        <w:rPr>
          <w:rFonts w:asciiTheme="majorEastAsia" w:eastAsiaTheme="majorEastAsia" w:hAnsiTheme="majorEastAsia"/>
          <w:szCs w:val="21"/>
        </w:rPr>
      </w:pPr>
      <w:r w:rsidRPr="00E364EF">
        <w:rPr>
          <w:rFonts w:asciiTheme="majorEastAsia" w:eastAsiaTheme="majorEastAsia" w:hAnsiTheme="majorEastAsia" w:hint="eastAsia"/>
          <w:szCs w:val="21"/>
        </w:rPr>
        <w:t>障害のある人もない人も共に暮らしやすい千葉県づくり条例</w:t>
      </w:r>
    </w:p>
    <w:p w:rsidR="003B0BD2" w:rsidRPr="00E364EF" w:rsidRDefault="003B0BD2" w:rsidP="003B0BD2">
      <w:pPr>
        <w:pStyle w:val="a8"/>
        <w:ind w:leftChars="0" w:left="426"/>
        <w:rPr>
          <w:rFonts w:asciiTheme="minorEastAsia" w:hAnsiTheme="minorEastAsia"/>
          <w:szCs w:val="21"/>
        </w:rPr>
      </w:pPr>
      <w:r w:rsidRPr="00E364EF">
        <w:rPr>
          <w:rFonts w:asciiTheme="minorEastAsia" w:hAnsiTheme="minorEastAsia" w:hint="eastAsia"/>
          <w:szCs w:val="21"/>
        </w:rPr>
        <w:t>（定義）</w:t>
      </w:r>
    </w:p>
    <w:p w:rsidR="00C87969" w:rsidRDefault="003B0BD2" w:rsidP="00C87969">
      <w:pPr>
        <w:pStyle w:val="a8"/>
        <w:ind w:leftChars="0" w:left="426"/>
        <w:rPr>
          <w:rFonts w:asciiTheme="minorEastAsia" w:hAnsiTheme="minorEastAsia"/>
          <w:szCs w:val="21"/>
        </w:rPr>
      </w:pPr>
      <w:r w:rsidRPr="00E364EF">
        <w:rPr>
          <w:rFonts w:asciiTheme="minorEastAsia" w:hAnsiTheme="minorEastAsia" w:hint="eastAsia"/>
          <w:szCs w:val="21"/>
        </w:rPr>
        <w:t>第二条　２　この条例において「差別」とは、次の各号に掲げる行為（以下「不利益取扱い」という。）をすること及び障害のある人が障害のない人と実質的に同等の日常生活又は社会生活を営むために必要な合理的な配慮に基づく措置（以下「合理的な配慮に基づく措置」という。）を行わないことをいう。</w:t>
      </w:r>
    </w:p>
    <w:p w:rsidR="00C87969" w:rsidRDefault="00C87969" w:rsidP="00C87969">
      <w:pPr>
        <w:pStyle w:val="a8"/>
        <w:ind w:leftChars="0" w:left="426"/>
        <w:rPr>
          <w:rFonts w:asciiTheme="minorEastAsia" w:hAnsiTheme="minorEastAsia"/>
          <w:szCs w:val="21"/>
        </w:rPr>
      </w:pPr>
      <w:r w:rsidRPr="00C87969">
        <w:rPr>
          <w:rFonts w:asciiTheme="minorEastAsia" w:hAnsiTheme="minorEastAsia" w:hint="eastAsia"/>
          <w:szCs w:val="21"/>
        </w:rPr>
        <w:t>四　労働者を雇用する場合において、障害のある人に対して行う次に掲げる行為</w:t>
      </w:r>
    </w:p>
    <w:p w:rsidR="00C87969" w:rsidRDefault="00C87969" w:rsidP="00C87969">
      <w:pPr>
        <w:pStyle w:val="a8"/>
        <w:ind w:leftChars="0" w:left="426"/>
        <w:rPr>
          <w:rFonts w:asciiTheme="minorEastAsia" w:hAnsiTheme="minorEastAsia"/>
          <w:szCs w:val="21"/>
        </w:rPr>
      </w:pPr>
      <w:r w:rsidRPr="00C87969">
        <w:rPr>
          <w:rFonts w:asciiTheme="minorEastAsia" w:hAnsiTheme="minorEastAsia" w:hint="eastAsia"/>
          <w:szCs w:val="21"/>
        </w:rPr>
        <w:t>イ　労働者の募集又は採用に当たって、本人が業務の本質的部分を遂行することが不可能である場合その他の合理的な理由なく、障害を理由として、応募若しくは採用を拒否し、又は条件を課し、その他不利益な取扱いをすること。</w:t>
      </w:r>
    </w:p>
    <w:p w:rsidR="00C87969" w:rsidRDefault="00C87969" w:rsidP="00C87969">
      <w:pPr>
        <w:pStyle w:val="a8"/>
        <w:ind w:leftChars="0" w:left="426"/>
        <w:rPr>
          <w:rFonts w:asciiTheme="minorEastAsia" w:hAnsiTheme="minorEastAsia"/>
          <w:szCs w:val="21"/>
        </w:rPr>
      </w:pPr>
      <w:r w:rsidRPr="00C87969">
        <w:rPr>
          <w:rFonts w:asciiTheme="minorEastAsia" w:hAnsiTheme="minorEastAsia" w:hint="eastAsia"/>
          <w:szCs w:val="21"/>
        </w:rPr>
        <w:t>ロ　賃金、労働時間その他の労働条件又は配置、昇進若しくは教育訓練若しくは福利厚生について、本人が業務の本質的部分を遂行することが不可能である場合その他の合理的な理由なく、障害を理由として、不利益な取扱いをすること。</w:t>
      </w:r>
    </w:p>
    <w:p w:rsidR="00C87969" w:rsidRPr="00C87969" w:rsidRDefault="00C87969" w:rsidP="00C87969">
      <w:pPr>
        <w:pStyle w:val="a8"/>
        <w:ind w:leftChars="0" w:left="426"/>
        <w:rPr>
          <w:rFonts w:asciiTheme="minorEastAsia" w:hAnsiTheme="minorEastAsia"/>
          <w:szCs w:val="21"/>
        </w:rPr>
      </w:pPr>
      <w:r w:rsidRPr="00C87969">
        <w:rPr>
          <w:rFonts w:asciiTheme="minorEastAsia" w:hAnsiTheme="minorEastAsia" w:hint="eastAsia"/>
          <w:szCs w:val="21"/>
        </w:rPr>
        <w:t>ハ　本人が業務の本質的部分を遂行することが不可能である場合その他の合理的な理由なく、障害を理由として、解雇し、又は退職を強いること。</w:t>
      </w:r>
    </w:p>
    <w:p w:rsidR="003B0BD2" w:rsidRPr="00C87969" w:rsidRDefault="003B0BD2" w:rsidP="003B0BD2">
      <w:pPr>
        <w:rPr>
          <w:rFonts w:asciiTheme="majorEastAsia" w:eastAsiaTheme="majorEastAsia" w:hAnsiTheme="majorEastAsia"/>
          <w:szCs w:val="21"/>
        </w:rPr>
      </w:pPr>
    </w:p>
    <w:p w:rsidR="003B0BD2" w:rsidRPr="00E364EF" w:rsidRDefault="003B0BD2" w:rsidP="003B0BD2">
      <w:pPr>
        <w:pStyle w:val="a8"/>
        <w:numPr>
          <w:ilvl w:val="0"/>
          <w:numId w:val="1"/>
        </w:numPr>
        <w:ind w:leftChars="0" w:left="426" w:hanging="426"/>
        <w:rPr>
          <w:rFonts w:asciiTheme="majorEastAsia" w:eastAsiaTheme="majorEastAsia" w:hAnsiTheme="majorEastAsia"/>
          <w:bCs/>
          <w:szCs w:val="21"/>
        </w:rPr>
      </w:pPr>
      <w:r w:rsidRPr="00E364EF">
        <w:rPr>
          <w:rFonts w:asciiTheme="majorEastAsia" w:eastAsiaTheme="majorEastAsia" w:hAnsiTheme="majorEastAsia" w:hint="eastAsia"/>
          <w:bCs/>
          <w:szCs w:val="21"/>
        </w:rPr>
        <w:t>京都府障害のある人もない人も共に安心していきいきと暮らしやすい社会づくり条例</w:t>
      </w:r>
    </w:p>
    <w:p w:rsidR="006F748C" w:rsidRDefault="003B0BD2" w:rsidP="006F748C">
      <w:pPr>
        <w:pStyle w:val="a8"/>
        <w:ind w:leftChars="0" w:left="426"/>
        <w:rPr>
          <w:rFonts w:asciiTheme="minorEastAsia" w:hAnsiTheme="minorEastAsia"/>
          <w:bCs/>
          <w:szCs w:val="21"/>
        </w:rPr>
      </w:pPr>
      <w:r w:rsidRPr="00E364EF">
        <w:rPr>
          <w:rFonts w:asciiTheme="minorEastAsia" w:hAnsiTheme="minorEastAsia" w:hint="eastAsia"/>
          <w:bCs/>
          <w:szCs w:val="21"/>
        </w:rPr>
        <w:t>（不利益取扱いによる障害者の権利利益の侵害の禁止）</w:t>
      </w:r>
    </w:p>
    <w:p w:rsidR="006F748C" w:rsidRPr="006F748C" w:rsidRDefault="006F748C" w:rsidP="006F748C">
      <w:pPr>
        <w:pStyle w:val="a8"/>
        <w:ind w:leftChars="0" w:left="426"/>
        <w:rPr>
          <w:rFonts w:asciiTheme="minorEastAsia" w:hAnsiTheme="minorEastAsia"/>
          <w:bCs/>
          <w:szCs w:val="21"/>
        </w:rPr>
      </w:pPr>
      <w:r w:rsidRPr="006F748C">
        <w:rPr>
          <w:rFonts w:asciiTheme="minorEastAsia" w:hAnsiTheme="minorEastAsia" w:hint="eastAsia"/>
          <w:bCs/>
          <w:szCs w:val="21"/>
        </w:rPr>
        <w:t>第7条　事業主は、労働者の募集及び採用について、障害者に対して、障害者でない者と均等な機会を与えなければならない。</w:t>
      </w:r>
    </w:p>
    <w:p w:rsidR="003B0BD2" w:rsidRPr="00E364EF" w:rsidRDefault="006F748C" w:rsidP="006F748C">
      <w:pPr>
        <w:pStyle w:val="a8"/>
        <w:ind w:leftChars="0" w:left="426"/>
        <w:rPr>
          <w:rFonts w:asciiTheme="minorEastAsia" w:hAnsiTheme="minorEastAsia"/>
          <w:bCs/>
          <w:szCs w:val="21"/>
        </w:rPr>
      </w:pPr>
      <w:r w:rsidRPr="006F748C">
        <w:rPr>
          <w:rFonts w:asciiTheme="minorEastAsia" w:hAnsiTheme="minorEastAsia" w:hint="eastAsia"/>
          <w:bCs/>
          <w:szCs w:val="21"/>
        </w:rPr>
        <w:t>2　事業主は、賃金の決定、教育訓練の実施、福利厚生施設の利用その他の待遇について、労働者が障害者であることを理由として、障害者でない者と不当な差別的取扱いをしてはならない。</w:t>
      </w:r>
    </w:p>
    <w:p w:rsidR="003B0BD2" w:rsidRPr="00E364EF" w:rsidRDefault="003B0BD2" w:rsidP="003B0BD2">
      <w:pPr>
        <w:pStyle w:val="a8"/>
        <w:ind w:leftChars="0" w:left="426"/>
        <w:rPr>
          <w:rFonts w:asciiTheme="minorEastAsia" w:hAnsiTheme="minorEastAsia"/>
          <w:bCs/>
          <w:szCs w:val="21"/>
        </w:rPr>
      </w:pPr>
      <w:r w:rsidRPr="00E364EF">
        <w:rPr>
          <w:rFonts w:asciiTheme="minorEastAsia" w:hAnsiTheme="minorEastAsia" w:hint="eastAsia"/>
          <w:bCs/>
          <w:szCs w:val="21"/>
        </w:rPr>
        <w:t>第8条　府は、その事務又は事業を行うに当たり、障害者から現に社会的障壁の除去を必要としている旨の意思の表明（障害者の保護者、後見人その他の関係者が当該障害者の代理人として行ったもの及びこれらの者が当該障害者の補佐人として行った補佐に係るものを含む。次項において同じ。）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435FA0" w:rsidRPr="006F748C" w:rsidRDefault="003B0BD2" w:rsidP="006F748C">
      <w:pPr>
        <w:pStyle w:val="a8"/>
        <w:ind w:leftChars="0" w:left="426"/>
        <w:rPr>
          <w:rFonts w:asciiTheme="minorEastAsia" w:hAnsiTheme="minorEastAsia"/>
          <w:bCs/>
          <w:szCs w:val="21"/>
        </w:rPr>
      </w:pPr>
      <w:r w:rsidRPr="00E364EF">
        <w:rPr>
          <w:rFonts w:asciiTheme="minorEastAsia" w:hAnsiTheme="minorEastAsia" w:hint="eastAsia"/>
          <w:bCs/>
          <w:szCs w:val="21"/>
        </w:rPr>
        <w:t>2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前項に規定する配慮をするように努めなければならない。</w:t>
      </w:r>
    </w:p>
    <w:sectPr w:rsidR="00435FA0" w:rsidRPr="006F748C" w:rsidSect="008E4F3D">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6B" w:rsidRDefault="00FD546B" w:rsidP="00D21AF0">
      <w:r>
        <w:separator/>
      </w:r>
    </w:p>
  </w:endnote>
  <w:endnote w:type="continuationSeparator" w:id="0">
    <w:p w:rsidR="00FD546B" w:rsidRDefault="00FD546B"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6816"/>
      <w:docPartObj>
        <w:docPartGallery w:val="Page Numbers (Bottom of Page)"/>
        <w:docPartUnique/>
      </w:docPartObj>
    </w:sdtPr>
    <w:sdtEndPr/>
    <w:sdtContent>
      <w:p w:rsidR="007D26D9" w:rsidRDefault="007D26D9">
        <w:pPr>
          <w:pStyle w:val="a5"/>
          <w:jc w:val="center"/>
        </w:pPr>
        <w:r>
          <w:fldChar w:fldCharType="begin"/>
        </w:r>
        <w:r>
          <w:instrText>PAGE   \* MERGEFORMAT</w:instrText>
        </w:r>
        <w:r>
          <w:fldChar w:fldCharType="separate"/>
        </w:r>
        <w:r w:rsidR="006E4ADB" w:rsidRPr="006E4ADB">
          <w:rPr>
            <w:noProof/>
            <w:lang w:val="ja-JP"/>
          </w:rPr>
          <w:t>1</w:t>
        </w:r>
        <w:r>
          <w:fldChar w:fldCharType="end"/>
        </w:r>
      </w:p>
    </w:sdtContent>
  </w:sdt>
  <w:p w:rsidR="007D26D9" w:rsidRDefault="007D26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6B" w:rsidRDefault="00FD546B" w:rsidP="00D21AF0">
      <w:r>
        <w:separator/>
      </w:r>
    </w:p>
  </w:footnote>
  <w:footnote w:type="continuationSeparator" w:id="0">
    <w:p w:rsidR="00FD546B" w:rsidRDefault="00FD546B" w:rsidP="00D2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14D"/>
    <w:multiLevelType w:val="hybridMultilevel"/>
    <w:tmpl w:val="9E6AC364"/>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1D6F65"/>
    <w:multiLevelType w:val="hybridMultilevel"/>
    <w:tmpl w:val="767867FE"/>
    <w:lvl w:ilvl="0" w:tplc="CE144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D97664"/>
    <w:multiLevelType w:val="hybridMultilevel"/>
    <w:tmpl w:val="3DE29032"/>
    <w:lvl w:ilvl="0" w:tplc="04090017">
      <w:start w:val="1"/>
      <w:numFmt w:val="aiueoFullWidth"/>
      <w:lvlText w:val="(%1)"/>
      <w:lvlJc w:val="left"/>
      <w:pPr>
        <w:ind w:left="844" w:hanging="420"/>
      </w:pPr>
      <w:rPr>
        <w:rFont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nsid w:val="0C3B5A54"/>
    <w:multiLevelType w:val="hybridMultilevel"/>
    <w:tmpl w:val="45E83EA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0E9C26D8"/>
    <w:multiLevelType w:val="hybridMultilevel"/>
    <w:tmpl w:val="E9A28AE8"/>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4C1C45"/>
    <w:multiLevelType w:val="hybridMultilevel"/>
    <w:tmpl w:val="89AE7502"/>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FAA1F37"/>
    <w:multiLevelType w:val="hybridMultilevel"/>
    <w:tmpl w:val="71FA2506"/>
    <w:lvl w:ilvl="0" w:tplc="EB1A0412">
      <w:start w:val="1"/>
      <w:numFmt w:val="bullet"/>
      <w:lvlText w:val="※"/>
      <w:lvlJc w:val="left"/>
      <w:pPr>
        <w:ind w:left="105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17AE299A"/>
    <w:multiLevelType w:val="hybridMultilevel"/>
    <w:tmpl w:val="507C196C"/>
    <w:lvl w:ilvl="0" w:tplc="04090017">
      <w:start w:val="1"/>
      <w:numFmt w:val="aiueoFullWidth"/>
      <w:lvlText w:val="(%1)"/>
      <w:lvlJc w:val="left"/>
      <w:pPr>
        <w:ind w:left="720" w:hanging="360"/>
      </w:pPr>
      <w:rPr>
        <w:rFont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1A8C1E42"/>
    <w:multiLevelType w:val="hybridMultilevel"/>
    <w:tmpl w:val="DE80993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BEA089C"/>
    <w:multiLevelType w:val="hybridMultilevel"/>
    <w:tmpl w:val="4A609BA0"/>
    <w:lvl w:ilvl="0" w:tplc="746AA1D6">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F1D53E7"/>
    <w:multiLevelType w:val="hybridMultilevel"/>
    <w:tmpl w:val="020CEEC4"/>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2A5650"/>
    <w:multiLevelType w:val="hybridMultilevel"/>
    <w:tmpl w:val="EA8CA99C"/>
    <w:lvl w:ilvl="0" w:tplc="CE144F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8354598"/>
    <w:multiLevelType w:val="multilevel"/>
    <w:tmpl w:val="1AF0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B95248"/>
    <w:multiLevelType w:val="hybridMultilevel"/>
    <w:tmpl w:val="B39E4A92"/>
    <w:lvl w:ilvl="0" w:tplc="EB1A0412">
      <w:start w:val="1"/>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1CA4F9E"/>
    <w:multiLevelType w:val="hybridMultilevel"/>
    <w:tmpl w:val="57D265F8"/>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A342DCE"/>
    <w:multiLevelType w:val="hybridMultilevel"/>
    <w:tmpl w:val="E7C063D6"/>
    <w:lvl w:ilvl="0" w:tplc="04090017">
      <w:start w:val="1"/>
      <w:numFmt w:val="aiueoFullWidth"/>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nsid w:val="44470DE4"/>
    <w:multiLevelType w:val="hybridMultilevel"/>
    <w:tmpl w:val="1516304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DFA310A"/>
    <w:multiLevelType w:val="hybridMultilevel"/>
    <w:tmpl w:val="95429E74"/>
    <w:lvl w:ilvl="0" w:tplc="CE144FAC">
      <w:start w:val="1"/>
      <w:numFmt w:val="bullet"/>
      <w:lvlText w:val=""/>
      <w:lvlJc w:val="left"/>
      <w:pPr>
        <w:ind w:left="3196" w:hanging="360"/>
      </w:pPr>
      <w:rPr>
        <w:rFonts w:ascii="Wingdings" w:hAnsi="Wingdings" w:hint="default"/>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51353553"/>
    <w:multiLevelType w:val="hybridMultilevel"/>
    <w:tmpl w:val="52FE5FC4"/>
    <w:lvl w:ilvl="0" w:tplc="805CB360">
      <w:numFmt w:val="bullet"/>
      <w:lvlText w:val="※"/>
      <w:lvlJc w:val="left"/>
      <w:pPr>
        <w:ind w:left="63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545C1B9D"/>
    <w:multiLevelType w:val="hybridMultilevel"/>
    <w:tmpl w:val="140A473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56D20CF9"/>
    <w:multiLevelType w:val="hybridMultilevel"/>
    <w:tmpl w:val="A3848ECA"/>
    <w:lvl w:ilvl="0" w:tplc="CE144FA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nsid w:val="58C37F39"/>
    <w:multiLevelType w:val="hybridMultilevel"/>
    <w:tmpl w:val="0EF891E8"/>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56051F4"/>
    <w:multiLevelType w:val="hybridMultilevel"/>
    <w:tmpl w:val="91F28BF0"/>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6470D82"/>
    <w:multiLevelType w:val="hybridMultilevel"/>
    <w:tmpl w:val="BADADAD6"/>
    <w:lvl w:ilvl="0" w:tplc="746AA1D6">
      <w:start w:val="1"/>
      <w:numFmt w:val="bullet"/>
      <w:lvlText w:val="○"/>
      <w:lvlJc w:val="left"/>
      <w:pPr>
        <w:ind w:left="3196" w:hanging="360"/>
      </w:pPr>
      <w:rPr>
        <w:rFonts w:ascii="HG丸ｺﾞｼｯｸM-PRO" w:eastAsia="HG丸ｺﾞｼｯｸM-PRO" w:hAnsi="HG丸ｺﾞｼｯｸM-PRO" w:hint="eastAsia"/>
      </w:rPr>
    </w:lvl>
    <w:lvl w:ilvl="1" w:tplc="CE144FAC">
      <w:start w:val="1"/>
      <w:numFmt w:val="bullet"/>
      <w:lvlText w:val=""/>
      <w:lvlJc w:val="left"/>
      <w:pPr>
        <w:ind w:left="1140" w:hanging="360"/>
      </w:pPr>
      <w:rPr>
        <w:rFonts w:ascii="Wingdings" w:hAnsi="Wingdings" w:hint="default"/>
      </w:rPr>
    </w:lvl>
    <w:lvl w:ilvl="2" w:tplc="EB1A0412">
      <w:start w:val="1"/>
      <w:numFmt w:val="bullet"/>
      <w:lvlText w:val="※"/>
      <w:lvlJc w:val="left"/>
      <w:pPr>
        <w:ind w:left="156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70A23E3C"/>
    <w:multiLevelType w:val="hybridMultilevel"/>
    <w:tmpl w:val="E11C7582"/>
    <w:lvl w:ilvl="0" w:tplc="32FA1B00">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A816CB"/>
    <w:multiLevelType w:val="hybridMultilevel"/>
    <w:tmpl w:val="4874D5FA"/>
    <w:lvl w:ilvl="0" w:tplc="746AA1D6">
      <w:start w:val="1"/>
      <w:numFmt w:val="bullet"/>
      <w:lvlText w:val="○"/>
      <w:lvlJc w:val="left"/>
      <w:pPr>
        <w:ind w:left="840" w:hanging="420"/>
      </w:pPr>
      <w:rPr>
        <w:rFonts w:ascii="HG丸ｺﾞｼｯｸM-PRO" w:eastAsia="HG丸ｺﾞｼｯｸM-PRO"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9"/>
  </w:num>
  <w:num w:numId="3">
    <w:abstractNumId w:val="0"/>
  </w:num>
  <w:num w:numId="4">
    <w:abstractNumId w:val="22"/>
  </w:num>
  <w:num w:numId="5">
    <w:abstractNumId w:val="19"/>
  </w:num>
  <w:num w:numId="6">
    <w:abstractNumId w:val="15"/>
  </w:num>
  <w:num w:numId="7">
    <w:abstractNumId w:val="23"/>
  </w:num>
  <w:num w:numId="8">
    <w:abstractNumId w:val="18"/>
  </w:num>
  <w:num w:numId="9">
    <w:abstractNumId w:val="4"/>
  </w:num>
  <w:num w:numId="10">
    <w:abstractNumId w:val="25"/>
  </w:num>
  <w:num w:numId="11">
    <w:abstractNumId w:val="21"/>
  </w:num>
  <w:num w:numId="12">
    <w:abstractNumId w:val="14"/>
  </w:num>
  <w:num w:numId="13">
    <w:abstractNumId w:val="8"/>
  </w:num>
  <w:num w:numId="14">
    <w:abstractNumId w:val="7"/>
  </w:num>
  <w:num w:numId="15">
    <w:abstractNumId w:val="16"/>
  </w:num>
  <w:num w:numId="16">
    <w:abstractNumId w:val="2"/>
  </w:num>
  <w:num w:numId="17">
    <w:abstractNumId w:val="10"/>
  </w:num>
  <w:num w:numId="18">
    <w:abstractNumId w:val="6"/>
  </w:num>
  <w:num w:numId="19">
    <w:abstractNumId w:val="20"/>
  </w:num>
  <w:num w:numId="20">
    <w:abstractNumId w:val="13"/>
  </w:num>
  <w:num w:numId="21">
    <w:abstractNumId w:val="1"/>
  </w:num>
  <w:num w:numId="22">
    <w:abstractNumId w:val="3"/>
  </w:num>
  <w:num w:numId="23">
    <w:abstractNumId w:val="11"/>
  </w:num>
  <w:num w:numId="24">
    <w:abstractNumId w:val="5"/>
  </w:num>
  <w:num w:numId="25">
    <w:abstractNumId w:val="24"/>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4253"/>
    <w:rsid w:val="000071B8"/>
    <w:rsid w:val="00040583"/>
    <w:rsid w:val="000410F6"/>
    <w:rsid w:val="000514ED"/>
    <w:rsid w:val="00053202"/>
    <w:rsid w:val="0005401D"/>
    <w:rsid w:val="000561B3"/>
    <w:rsid w:val="00076E2A"/>
    <w:rsid w:val="00092538"/>
    <w:rsid w:val="000A2E8F"/>
    <w:rsid w:val="000D24A5"/>
    <w:rsid w:val="000E23C7"/>
    <w:rsid w:val="000E571A"/>
    <w:rsid w:val="00105DC6"/>
    <w:rsid w:val="001116AB"/>
    <w:rsid w:val="001205B7"/>
    <w:rsid w:val="00123360"/>
    <w:rsid w:val="001432D6"/>
    <w:rsid w:val="001568E1"/>
    <w:rsid w:val="00167E87"/>
    <w:rsid w:val="00195602"/>
    <w:rsid w:val="001A7BD5"/>
    <w:rsid w:val="001D2102"/>
    <w:rsid w:val="001D43D7"/>
    <w:rsid w:val="001D478E"/>
    <w:rsid w:val="001F21EB"/>
    <w:rsid w:val="001F49A8"/>
    <w:rsid w:val="002649F1"/>
    <w:rsid w:val="00264EEB"/>
    <w:rsid w:val="002E3E8E"/>
    <w:rsid w:val="002E4113"/>
    <w:rsid w:val="00307FB4"/>
    <w:rsid w:val="00310568"/>
    <w:rsid w:val="00325A3F"/>
    <w:rsid w:val="00331F5A"/>
    <w:rsid w:val="00347ED2"/>
    <w:rsid w:val="003640FA"/>
    <w:rsid w:val="00373F6F"/>
    <w:rsid w:val="003B0BD2"/>
    <w:rsid w:val="003B390E"/>
    <w:rsid w:val="0042370B"/>
    <w:rsid w:val="00423F52"/>
    <w:rsid w:val="00435FA0"/>
    <w:rsid w:val="004574DD"/>
    <w:rsid w:val="00463AA5"/>
    <w:rsid w:val="00496777"/>
    <w:rsid w:val="004A1A7B"/>
    <w:rsid w:val="004D1AB4"/>
    <w:rsid w:val="004D7BC6"/>
    <w:rsid w:val="004F495A"/>
    <w:rsid w:val="004F72DC"/>
    <w:rsid w:val="00504DE7"/>
    <w:rsid w:val="00532624"/>
    <w:rsid w:val="00533E55"/>
    <w:rsid w:val="00547C05"/>
    <w:rsid w:val="0056608C"/>
    <w:rsid w:val="00593BC8"/>
    <w:rsid w:val="005A2507"/>
    <w:rsid w:val="005D4ACC"/>
    <w:rsid w:val="005E5D95"/>
    <w:rsid w:val="005F457D"/>
    <w:rsid w:val="00643B37"/>
    <w:rsid w:val="006603F7"/>
    <w:rsid w:val="006E4ADB"/>
    <w:rsid w:val="006E7EB8"/>
    <w:rsid w:val="006F293D"/>
    <w:rsid w:val="006F748C"/>
    <w:rsid w:val="00703372"/>
    <w:rsid w:val="00740640"/>
    <w:rsid w:val="007970B6"/>
    <w:rsid w:val="007A2691"/>
    <w:rsid w:val="007A35BC"/>
    <w:rsid w:val="007B1830"/>
    <w:rsid w:val="007D26D9"/>
    <w:rsid w:val="007F1030"/>
    <w:rsid w:val="00810EE9"/>
    <w:rsid w:val="008149F2"/>
    <w:rsid w:val="00817771"/>
    <w:rsid w:val="00822A8D"/>
    <w:rsid w:val="0084177F"/>
    <w:rsid w:val="00852353"/>
    <w:rsid w:val="008760CD"/>
    <w:rsid w:val="00876967"/>
    <w:rsid w:val="00880871"/>
    <w:rsid w:val="008C1204"/>
    <w:rsid w:val="008C1D15"/>
    <w:rsid w:val="008C474F"/>
    <w:rsid w:val="008D3861"/>
    <w:rsid w:val="008E4F3D"/>
    <w:rsid w:val="008F229A"/>
    <w:rsid w:val="008F3D51"/>
    <w:rsid w:val="00910C81"/>
    <w:rsid w:val="009157B0"/>
    <w:rsid w:val="00915B4A"/>
    <w:rsid w:val="00924911"/>
    <w:rsid w:val="00961E25"/>
    <w:rsid w:val="0097689A"/>
    <w:rsid w:val="00994D30"/>
    <w:rsid w:val="009A7B21"/>
    <w:rsid w:val="009C6403"/>
    <w:rsid w:val="009D1D10"/>
    <w:rsid w:val="00A04A74"/>
    <w:rsid w:val="00A27EFE"/>
    <w:rsid w:val="00A33818"/>
    <w:rsid w:val="00A454B7"/>
    <w:rsid w:val="00A47025"/>
    <w:rsid w:val="00A91685"/>
    <w:rsid w:val="00AA3065"/>
    <w:rsid w:val="00AE3975"/>
    <w:rsid w:val="00AE5C37"/>
    <w:rsid w:val="00B021C1"/>
    <w:rsid w:val="00B11612"/>
    <w:rsid w:val="00B1232B"/>
    <w:rsid w:val="00B22886"/>
    <w:rsid w:val="00B42BDF"/>
    <w:rsid w:val="00B63A06"/>
    <w:rsid w:val="00B81D0A"/>
    <w:rsid w:val="00B915B3"/>
    <w:rsid w:val="00BA0595"/>
    <w:rsid w:val="00BA565D"/>
    <w:rsid w:val="00BA662A"/>
    <w:rsid w:val="00BB365E"/>
    <w:rsid w:val="00BC6081"/>
    <w:rsid w:val="00BE611B"/>
    <w:rsid w:val="00BF2741"/>
    <w:rsid w:val="00BF593D"/>
    <w:rsid w:val="00C01820"/>
    <w:rsid w:val="00C02983"/>
    <w:rsid w:val="00C046C7"/>
    <w:rsid w:val="00C11AE8"/>
    <w:rsid w:val="00C23EAE"/>
    <w:rsid w:val="00C32C5F"/>
    <w:rsid w:val="00C51886"/>
    <w:rsid w:val="00C87969"/>
    <w:rsid w:val="00C94DDE"/>
    <w:rsid w:val="00CB2891"/>
    <w:rsid w:val="00CB59C4"/>
    <w:rsid w:val="00CC13FE"/>
    <w:rsid w:val="00CD612E"/>
    <w:rsid w:val="00CE29D9"/>
    <w:rsid w:val="00CE305C"/>
    <w:rsid w:val="00D12812"/>
    <w:rsid w:val="00D21AF0"/>
    <w:rsid w:val="00D223EA"/>
    <w:rsid w:val="00D3644E"/>
    <w:rsid w:val="00D6651A"/>
    <w:rsid w:val="00D747A8"/>
    <w:rsid w:val="00D818A4"/>
    <w:rsid w:val="00D90255"/>
    <w:rsid w:val="00DA7419"/>
    <w:rsid w:val="00DD4AC9"/>
    <w:rsid w:val="00DF089D"/>
    <w:rsid w:val="00E17BAC"/>
    <w:rsid w:val="00E27276"/>
    <w:rsid w:val="00E364EF"/>
    <w:rsid w:val="00E3741A"/>
    <w:rsid w:val="00E80C53"/>
    <w:rsid w:val="00E97961"/>
    <w:rsid w:val="00ED3608"/>
    <w:rsid w:val="00EE5B2D"/>
    <w:rsid w:val="00EF0C07"/>
    <w:rsid w:val="00EF3FA0"/>
    <w:rsid w:val="00F0026F"/>
    <w:rsid w:val="00F22069"/>
    <w:rsid w:val="00F225CD"/>
    <w:rsid w:val="00F37E70"/>
    <w:rsid w:val="00F602D4"/>
    <w:rsid w:val="00F9340F"/>
    <w:rsid w:val="00FC6724"/>
    <w:rsid w:val="00FC73D6"/>
    <w:rsid w:val="00FD546B"/>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 w:type="paragraph" w:styleId="Web">
    <w:name w:val="Normal (Web)"/>
    <w:basedOn w:val="a"/>
    <w:uiPriority w:val="99"/>
    <w:semiHidden/>
    <w:unhideWhenUsed/>
    <w:rsid w:val="006F748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A470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025"/>
    <w:rPr>
      <w:rFonts w:asciiTheme="majorHAnsi" w:eastAsiaTheme="majorEastAsia" w:hAnsiTheme="majorHAnsi" w:cstheme="majorBidi"/>
      <w:sz w:val="18"/>
      <w:szCs w:val="18"/>
    </w:rPr>
  </w:style>
  <w:style w:type="paragraph" w:styleId="Web">
    <w:name w:val="Normal (Web)"/>
    <w:basedOn w:val="a"/>
    <w:uiPriority w:val="99"/>
    <w:semiHidden/>
    <w:unhideWhenUsed/>
    <w:rsid w:val="006F7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9824">
      <w:bodyDiv w:val="1"/>
      <w:marLeft w:val="0"/>
      <w:marRight w:val="0"/>
      <w:marTop w:val="0"/>
      <w:marBottom w:val="0"/>
      <w:divBdr>
        <w:top w:val="none" w:sz="0" w:space="0" w:color="auto"/>
        <w:left w:val="none" w:sz="0" w:space="0" w:color="auto"/>
        <w:bottom w:val="none" w:sz="0" w:space="0" w:color="auto"/>
        <w:right w:val="none" w:sz="0" w:space="0" w:color="auto"/>
      </w:divBdr>
      <w:divsChild>
        <w:div w:id="1785925176">
          <w:marLeft w:val="240"/>
          <w:marRight w:val="0"/>
          <w:marTop w:val="0"/>
          <w:marBottom w:val="0"/>
          <w:divBdr>
            <w:top w:val="none" w:sz="0" w:space="0" w:color="auto"/>
            <w:left w:val="none" w:sz="0" w:space="0" w:color="auto"/>
            <w:bottom w:val="none" w:sz="0" w:space="0" w:color="auto"/>
            <w:right w:val="none" w:sz="0" w:space="0" w:color="auto"/>
          </w:divBdr>
        </w:div>
        <w:div w:id="22291976">
          <w:marLeft w:val="240"/>
          <w:marRight w:val="0"/>
          <w:marTop w:val="0"/>
          <w:marBottom w:val="0"/>
          <w:divBdr>
            <w:top w:val="none" w:sz="0" w:space="0" w:color="auto"/>
            <w:left w:val="none" w:sz="0" w:space="0" w:color="auto"/>
            <w:bottom w:val="none" w:sz="0" w:space="0" w:color="auto"/>
            <w:right w:val="none" w:sz="0" w:space="0" w:color="auto"/>
          </w:divBdr>
        </w:div>
        <w:div w:id="224536744">
          <w:marLeft w:val="240"/>
          <w:marRight w:val="0"/>
          <w:marTop w:val="0"/>
          <w:marBottom w:val="0"/>
          <w:divBdr>
            <w:top w:val="none" w:sz="0" w:space="0" w:color="auto"/>
            <w:left w:val="none" w:sz="0" w:space="0" w:color="auto"/>
            <w:bottom w:val="none" w:sz="0" w:space="0" w:color="auto"/>
            <w:right w:val="none" w:sz="0" w:space="0" w:color="auto"/>
          </w:divBdr>
        </w:div>
        <w:div w:id="1379892047">
          <w:marLeft w:val="240"/>
          <w:marRight w:val="0"/>
          <w:marTop w:val="0"/>
          <w:marBottom w:val="0"/>
          <w:divBdr>
            <w:top w:val="none" w:sz="0" w:space="0" w:color="auto"/>
            <w:left w:val="none" w:sz="0" w:space="0" w:color="auto"/>
            <w:bottom w:val="none" w:sz="0" w:space="0" w:color="auto"/>
            <w:right w:val="none" w:sz="0" w:space="0" w:color="auto"/>
          </w:divBdr>
        </w:div>
        <w:div w:id="1139886322">
          <w:marLeft w:val="240"/>
          <w:marRight w:val="0"/>
          <w:marTop w:val="0"/>
          <w:marBottom w:val="0"/>
          <w:divBdr>
            <w:top w:val="none" w:sz="0" w:space="0" w:color="auto"/>
            <w:left w:val="none" w:sz="0" w:space="0" w:color="auto"/>
            <w:bottom w:val="none" w:sz="0" w:space="0" w:color="auto"/>
            <w:right w:val="none" w:sz="0" w:space="0" w:color="auto"/>
          </w:divBdr>
        </w:div>
        <w:div w:id="384641031">
          <w:marLeft w:val="240"/>
          <w:marRight w:val="0"/>
          <w:marTop w:val="0"/>
          <w:marBottom w:val="0"/>
          <w:divBdr>
            <w:top w:val="none" w:sz="0" w:space="0" w:color="auto"/>
            <w:left w:val="none" w:sz="0" w:space="0" w:color="auto"/>
            <w:bottom w:val="none" w:sz="0" w:space="0" w:color="auto"/>
            <w:right w:val="none" w:sz="0" w:space="0" w:color="auto"/>
          </w:divBdr>
        </w:div>
        <w:div w:id="368338036">
          <w:marLeft w:val="240"/>
          <w:marRight w:val="0"/>
          <w:marTop w:val="0"/>
          <w:marBottom w:val="0"/>
          <w:divBdr>
            <w:top w:val="none" w:sz="0" w:space="0" w:color="auto"/>
            <w:left w:val="none" w:sz="0" w:space="0" w:color="auto"/>
            <w:bottom w:val="none" w:sz="0" w:space="0" w:color="auto"/>
            <w:right w:val="none" w:sz="0" w:space="0" w:color="auto"/>
          </w:divBdr>
        </w:div>
        <w:div w:id="1588688971">
          <w:marLeft w:val="240"/>
          <w:marRight w:val="0"/>
          <w:marTop w:val="0"/>
          <w:marBottom w:val="0"/>
          <w:divBdr>
            <w:top w:val="none" w:sz="0" w:space="0" w:color="auto"/>
            <w:left w:val="none" w:sz="0" w:space="0" w:color="auto"/>
            <w:bottom w:val="none" w:sz="0" w:space="0" w:color="auto"/>
            <w:right w:val="none" w:sz="0" w:space="0" w:color="auto"/>
          </w:divBdr>
        </w:div>
      </w:divsChild>
    </w:div>
    <w:div w:id="114763073">
      <w:bodyDiv w:val="1"/>
      <w:marLeft w:val="0"/>
      <w:marRight w:val="0"/>
      <w:marTop w:val="0"/>
      <w:marBottom w:val="0"/>
      <w:divBdr>
        <w:top w:val="none" w:sz="0" w:space="0" w:color="auto"/>
        <w:left w:val="none" w:sz="0" w:space="0" w:color="auto"/>
        <w:bottom w:val="none" w:sz="0" w:space="0" w:color="auto"/>
        <w:right w:val="none" w:sz="0" w:space="0" w:color="auto"/>
      </w:divBdr>
      <w:divsChild>
        <w:div w:id="786003799">
          <w:marLeft w:val="240"/>
          <w:marRight w:val="0"/>
          <w:marTop w:val="0"/>
          <w:marBottom w:val="0"/>
          <w:divBdr>
            <w:top w:val="none" w:sz="0" w:space="0" w:color="auto"/>
            <w:left w:val="none" w:sz="0" w:space="0" w:color="auto"/>
            <w:bottom w:val="none" w:sz="0" w:space="0" w:color="auto"/>
            <w:right w:val="none" w:sz="0" w:space="0" w:color="auto"/>
          </w:divBdr>
        </w:div>
        <w:div w:id="1887836034">
          <w:marLeft w:val="240"/>
          <w:marRight w:val="0"/>
          <w:marTop w:val="0"/>
          <w:marBottom w:val="0"/>
          <w:divBdr>
            <w:top w:val="none" w:sz="0" w:space="0" w:color="auto"/>
            <w:left w:val="none" w:sz="0" w:space="0" w:color="auto"/>
            <w:bottom w:val="none" w:sz="0" w:space="0" w:color="auto"/>
            <w:right w:val="none" w:sz="0" w:space="0" w:color="auto"/>
          </w:divBdr>
        </w:div>
        <w:div w:id="1662733908">
          <w:marLeft w:val="240"/>
          <w:marRight w:val="0"/>
          <w:marTop w:val="0"/>
          <w:marBottom w:val="0"/>
          <w:divBdr>
            <w:top w:val="none" w:sz="0" w:space="0" w:color="auto"/>
            <w:left w:val="none" w:sz="0" w:space="0" w:color="auto"/>
            <w:bottom w:val="none" w:sz="0" w:space="0" w:color="auto"/>
            <w:right w:val="none" w:sz="0" w:space="0" w:color="auto"/>
          </w:divBdr>
        </w:div>
        <w:div w:id="347830271">
          <w:marLeft w:val="240"/>
          <w:marRight w:val="0"/>
          <w:marTop w:val="0"/>
          <w:marBottom w:val="0"/>
          <w:divBdr>
            <w:top w:val="none" w:sz="0" w:space="0" w:color="auto"/>
            <w:left w:val="none" w:sz="0" w:space="0" w:color="auto"/>
            <w:bottom w:val="none" w:sz="0" w:space="0" w:color="auto"/>
            <w:right w:val="none" w:sz="0" w:space="0" w:color="auto"/>
          </w:divBdr>
        </w:div>
        <w:div w:id="794104236">
          <w:marLeft w:val="240"/>
          <w:marRight w:val="0"/>
          <w:marTop w:val="0"/>
          <w:marBottom w:val="0"/>
          <w:divBdr>
            <w:top w:val="none" w:sz="0" w:space="0" w:color="auto"/>
            <w:left w:val="none" w:sz="0" w:space="0" w:color="auto"/>
            <w:bottom w:val="none" w:sz="0" w:space="0" w:color="auto"/>
            <w:right w:val="none" w:sz="0" w:space="0" w:color="auto"/>
          </w:divBdr>
        </w:div>
        <w:div w:id="2080899387">
          <w:marLeft w:val="240"/>
          <w:marRight w:val="0"/>
          <w:marTop w:val="0"/>
          <w:marBottom w:val="0"/>
          <w:divBdr>
            <w:top w:val="none" w:sz="0" w:space="0" w:color="auto"/>
            <w:left w:val="none" w:sz="0" w:space="0" w:color="auto"/>
            <w:bottom w:val="none" w:sz="0" w:space="0" w:color="auto"/>
            <w:right w:val="none" w:sz="0" w:space="0" w:color="auto"/>
          </w:divBdr>
        </w:div>
        <w:div w:id="1018657749">
          <w:marLeft w:val="240"/>
          <w:marRight w:val="0"/>
          <w:marTop w:val="0"/>
          <w:marBottom w:val="0"/>
          <w:divBdr>
            <w:top w:val="none" w:sz="0" w:space="0" w:color="auto"/>
            <w:left w:val="none" w:sz="0" w:space="0" w:color="auto"/>
            <w:bottom w:val="none" w:sz="0" w:space="0" w:color="auto"/>
            <w:right w:val="none" w:sz="0" w:space="0" w:color="auto"/>
          </w:divBdr>
        </w:div>
        <w:div w:id="1190602168">
          <w:marLeft w:val="240"/>
          <w:marRight w:val="0"/>
          <w:marTop w:val="0"/>
          <w:marBottom w:val="0"/>
          <w:divBdr>
            <w:top w:val="none" w:sz="0" w:space="0" w:color="auto"/>
            <w:left w:val="none" w:sz="0" w:space="0" w:color="auto"/>
            <w:bottom w:val="none" w:sz="0" w:space="0" w:color="auto"/>
            <w:right w:val="none" w:sz="0" w:space="0" w:color="auto"/>
          </w:divBdr>
        </w:div>
      </w:divsChild>
    </w:div>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763068378">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5</Pages>
  <Words>870</Words>
  <Characters>4963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70</cp:revision>
  <cp:lastPrinted>2014-05-08T04:42:00Z</cp:lastPrinted>
  <dcterms:created xsi:type="dcterms:W3CDTF">2014-03-26T02:07:00Z</dcterms:created>
  <dcterms:modified xsi:type="dcterms:W3CDTF">2014-07-08T06:18:00Z</dcterms:modified>
</cp:coreProperties>
</file>