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C7" w:rsidRDefault="00910C81" w:rsidP="00910C81">
      <w:pPr>
        <w:jc w:val="center"/>
        <w:rPr>
          <w:rFonts w:asciiTheme="majorEastAsia" w:eastAsiaTheme="majorEastAsia" w:hAnsiTheme="majorEastAsia"/>
          <w:szCs w:val="21"/>
        </w:rPr>
      </w:pPr>
      <w:r w:rsidRPr="005E17D3">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1B679780" wp14:editId="702BBC99">
                <wp:simplePos x="0" y="0"/>
                <wp:positionH relativeFrom="column">
                  <wp:posOffset>5076825</wp:posOffset>
                </wp:positionH>
                <wp:positionV relativeFrom="paragraph">
                  <wp:posOffset>-390525</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910C81" w:rsidRPr="00000FDC" w:rsidRDefault="00D7294F"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75pt;margin-top:-30.7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">
                <v:textbox style="mso-fit-shape-to-text:t">
                  <w:txbxContent>
                    <w:p w:rsidR="00910C81" w:rsidRPr="00000FDC" w:rsidRDefault="00D7294F"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参考資料７</w:t>
                      </w:r>
                    </w:p>
                  </w:txbxContent>
                </v:textbox>
              </v:shape>
            </w:pict>
          </mc:Fallback>
        </mc:AlternateContent>
      </w:r>
      <w:r w:rsidR="00C046C7" w:rsidRPr="00D51291">
        <w:rPr>
          <w:rFonts w:asciiTheme="majorEastAsia" w:eastAsiaTheme="majorEastAsia" w:hAnsiTheme="majorEastAsia" w:hint="eastAsia"/>
          <w:szCs w:val="21"/>
        </w:rPr>
        <w:t>関係法令</w:t>
      </w:r>
      <w:r w:rsidR="001116AB">
        <w:rPr>
          <w:rFonts w:asciiTheme="majorEastAsia" w:eastAsiaTheme="majorEastAsia" w:hAnsiTheme="majorEastAsia" w:hint="eastAsia"/>
          <w:szCs w:val="21"/>
        </w:rPr>
        <w:t>（</w:t>
      </w:r>
      <w:r w:rsidR="00CE0F12" w:rsidRPr="00CE0F12">
        <w:rPr>
          <w:rFonts w:asciiTheme="majorEastAsia" w:eastAsiaTheme="majorEastAsia" w:hAnsiTheme="majorEastAsia" w:hint="eastAsia"/>
          <w:szCs w:val="21"/>
        </w:rPr>
        <w:t>情報・コミュニケーション</w:t>
      </w:r>
      <w:r w:rsidR="001116AB">
        <w:rPr>
          <w:rFonts w:asciiTheme="majorEastAsia" w:eastAsiaTheme="majorEastAsia" w:hAnsiTheme="majorEastAsia" w:hint="eastAsia"/>
          <w:szCs w:val="21"/>
        </w:rPr>
        <w:t>）分野</w:t>
      </w:r>
    </w:p>
    <w:p w:rsidR="00CE0F12" w:rsidRPr="00435FA0" w:rsidRDefault="00CE0F12" w:rsidP="00CE0F12">
      <w:pPr>
        <w:ind w:leftChars="-67" w:left="-141"/>
        <w:jc w:val="center"/>
        <w:rPr>
          <w:rFonts w:asciiTheme="majorEastAsia" w:eastAsiaTheme="majorEastAsia" w:hAnsiTheme="majorEastAsia"/>
          <w:szCs w:val="21"/>
        </w:rPr>
      </w:pPr>
      <w:bookmarkStart w:id="0" w:name="_GoBack"/>
      <w:bookmarkEnd w:id="0"/>
    </w:p>
    <w:p w:rsidR="00CE0F12" w:rsidRPr="00452561" w:rsidRDefault="00CE0F12" w:rsidP="00CE0F12">
      <w:pPr>
        <w:pStyle w:val="a8"/>
        <w:numPr>
          <w:ilvl w:val="0"/>
          <w:numId w:val="1"/>
        </w:numPr>
        <w:ind w:leftChars="0" w:left="424" w:hangingChars="202" w:hanging="424"/>
        <w:rPr>
          <w:rFonts w:asciiTheme="majorEastAsia" w:eastAsiaTheme="majorEastAsia" w:hAnsiTheme="majorEastAsia"/>
          <w:szCs w:val="21"/>
        </w:rPr>
      </w:pPr>
      <w:r w:rsidRPr="00435FA0">
        <w:rPr>
          <w:rFonts w:asciiTheme="majorEastAsia" w:eastAsiaTheme="majorEastAsia" w:hAnsiTheme="majorEastAsia"/>
          <w:bCs/>
          <w:szCs w:val="21"/>
        </w:rPr>
        <w:t>障害者の権利に関する条約</w:t>
      </w:r>
    </w:p>
    <w:p w:rsidR="00CE0F12" w:rsidRDefault="00CE0F12" w:rsidP="00CE0F12">
      <w:pPr>
        <w:pStyle w:val="a8"/>
        <w:ind w:leftChars="0" w:left="424"/>
        <w:rPr>
          <w:rFonts w:asciiTheme="minorEastAsia" w:hAnsiTheme="minorEastAsia"/>
          <w:bCs/>
          <w:szCs w:val="21"/>
        </w:rPr>
      </w:pPr>
      <w:r w:rsidRPr="001F21EB">
        <w:rPr>
          <w:rFonts w:asciiTheme="minorEastAsia" w:hAnsiTheme="minorEastAsia"/>
          <w:bCs/>
          <w:szCs w:val="21"/>
        </w:rPr>
        <w:t>第二条　定義</w:t>
      </w:r>
    </w:p>
    <w:p w:rsidR="00CE0F12" w:rsidRPr="00452561" w:rsidRDefault="00CE0F12" w:rsidP="00CE0F12">
      <w:pPr>
        <w:pStyle w:val="a8"/>
        <w:ind w:leftChars="0" w:left="424" w:firstLineChars="100" w:firstLine="210"/>
        <w:rPr>
          <w:rFonts w:asciiTheme="minorEastAsia" w:hAnsiTheme="minorEastAsia"/>
          <w:szCs w:val="21"/>
        </w:rPr>
      </w:pPr>
      <w:r w:rsidRPr="00DF06A9">
        <w:rPr>
          <w:szCs w:val="21"/>
        </w:rPr>
        <w:t>「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w:t>
      </w:r>
      <w:r w:rsidRPr="00DF06A9">
        <w:rPr>
          <w:szCs w:val="21"/>
        </w:rPr>
        <w:br/>
      </w:r>
      <w:r>
        <w:rPr>
          <w:rFonts w:hint="eastAsia"/>
          <w:szCs w:val="21"/>
        </w:rPr>
        <w:t xml:space="preserve">　</w:t>
      </w:r>
      <w:r w:rsidRPr="00DF06A9">
        <w:rPr>
          <w:szCs w:val="21"/>
        </w:rPr>
        <w:t>「合理的配慮」と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rsidR="00CE0F12" w:rsidRDefault="00CE0F12" w:rsidP="00CE0F12">
      <w:pPr>
        <w:pStyle w:val="a8"/>
        <w:ind w:leftChars="0" w:left="424"/>
        <w:rPr>
          <w:rFonts w:asciiTheme="minorEastAsia" w:hAnsiTheme="minorEastAsia"/>
          <w:szCs w:val="21"/>
        </w:rPr>
      </w:pPr>
      <w:r w:rsidRPr="008B3AEF">
        <w:rPr>
          <w:rFonts w:asciiTheme="minorEastAsia" w:hAnsiTheme="minorEastAsia" w:hint="eastAsia"/>
          <w:szCs w:val="21"/>
        </w:rPr>
        <w:t>第二十一条　表現及び意見の自由並びに情報の利用の機会</w:t>
      </w:r>
    </w:p>
    <w:p w:rsidR="00CE0F12" w:rsidRDefault="00CE0F12" w:rsidP="00CE0F12">
      <w:pPr>
        <w:pStyle w:val="a8"/>
        <w:ind w:leftChars="0" w:left="424" w:firstLineChars="100" w:firstLine="210"/>
        <w:rPr>
          <w:rFonts w:asciiTheme="minorEastAsia" w:hAnsiTheme="minorEastAsia"/>
          <w:szCs w:val="21"/>
        </w:rPr>
      </w:pPr>
      <w:r w:rsidRPr="008B3AEF">
        <w:rPr>
          <w:rFonts w:asciiTheme="minorEastAsia" w:hAnsiTheme="minorEastAsia" w:hint="eastAsia"/>
          <w:szCs w:val="21"/>
        </w:rPr>
        <w:t>締約国は、障害者が、第二条に定めるあらゆる形態の意思疎通であって自ら選択するものにより、表現及び意見の自由（他の者との平等を基礎として情報及び考えを求め、受け、及び伝える自由を含む。）についての権利を行使することができることを確保するための全ての適当な措置をとる。この措置には、次のことによるものを含む。</w:t>
      </w:r>
    </w:p>
    <w:p w:rsidR="00CE0F12" w:rsidRDefault="00CE0F12" w:rsidP="00CE0F12">
      <w:pPr>
        <w:pStyle w:val="a8"/>
        <w:ind w:leftChars="0" w:left="424"/>
        <w:rPr>
          <w:rFonts w:asciiTheme="minorEastAsia" w:hAnsiTheme="minorEastAsia"/>
          <w:szCs w:val="21"/>
        </w:rPr>
      </w:pPr>
      <w:r w:rsidRPr="008B3AEF">
        <w:rPr>
          <w:rFonts w:asciiTheme="minorEastAsia" w:hAnsiTheme="minorEastAsia" w:hint="eastAsia"/>
          <w:szCs w:val="21"/>
        </w:rPr>
        <w:t>（a）　障害者に対し、様々な種類の障害に相応した利用しやすい様式及び機器により、適時に、かつ、追加の費用を伴わず、一般公衆向けの情報を提供すること。</w:t>
      </w:r>
    </w:p>
    <w:p w:rsidR="00CE0F12" w:rsidRDefault="00CE0F12" w:rsidP="00CE0F12">
      <w:pPr>
        <w:pStyle w:val="a8"/>
        <w:ind w:leftChars="0" w:left="424"/>
        <w:rPr>
          <w:rFonts w:asciiTheme="minorEastAsia" w:hAnsiTheme="minorEastAsia"/>
          <w:szCs w:val="21"/>
        </w:rPr>
      </w:pPr>
      <w:r w:rsidRPr="008B3AEF">
        <w:rPr>
          <w:rFonts w:asciiTheme="minorEastAsia" w:hAnsiTheme="minorEastAsia" w:hint="eastAsia"/>
          <w:szCs w:val="21"/>
        </w:rPr>
        <w:t>（b）　公的な活動において、手話、点字、補助的及び代替的な意思疎通並びに障害者が自ら選択する他の全ての利用しやすい意思疎通の手段、形態及び様式を用いることを受け入れ、及び容易にすること。</w:t>
      </w:r>
    </w:p>
    <w:p w:rsidR="00CE0F12" w:rsidRDefault="00CE0F12" w:rsidP="00CE0F12">
      <w:pPr>
        <w:pStyle w:val="a8"/>
        <w:ind w:leftChars="0" w:left="424"/>
        <w:rPr>
          <w:rFonts w:asciiTheme="minorEastAsia" w:hAnsiTheme="minorEastAsia"/>
          <w:szCs w:val="21"/>
        </w:rPr>
      </w:pPr>
      <w:r w:rsidRPr="008B3AEF">
        <w:rPr>
          <w:rFonts w:asciiTheme="minorEastAsia" w:hAnsiTheme="minorEastAsia" w:hint="eastAsia"/>
          <w:szCs w:val="21"/>
        </w:rPr>
        <w:t>（c）　一般公衆に対してサービス（インターネットによるものを含む。）を提供する民間の団体が情報及びサービスを障害者にとって利用しやすい又は使用可能な様式で提供するよう要請すること。</w:t>
      </w:r>
    </w:p>
    <w:p w:rsidR="00CE0F12" w:rsidRDefault="00CE0F12" w:rsidP="00CE0F12">
      <w:pPr>
        <w:pStyle w:val="a8"/>
        <w:ind w:leftChars="0" w:left="424"/>
        <w:rPr>
          <w:rFonts w:asciiTheme="minorEastAsia" w:hAnsiTheme="minorEastAsia"/>
          <w:szCs w:val="21"/>
        </w:rPr>
      </w:pPr>
      <w:r w:rsidRPr="008B3AEF">
        <w:rPr>
          <w:rFonts w:asciiTheme="minorEastAsia" w:hAnsiTheme="minorEastAsia" w:hint="eastAsia"/>
          <w:szCs w:val="21"/>
        </w:rPr>
        <w:t>（d）　マスメディア（インターネットを通じて情報を提供する者を含む。）がそのサービスを障害者にとって利用しやすいものとするよう奨励すること。</w:t>
      </w:r>
    </w:p>
    <w:p w:rsidR="00CE0F12" w:rsidRPr="008B3AEF" w:rsidRDefault="00CE0F12" w:rsidP="00CE0F12">
      <w:pPr>
        <w:pStyle w:val="a8"/>
        <w:ind w:leftChars="0" w:left="424"/>
        <w:rPr>
          <w:rFonts w:asciiTheme="majorEastAsia" w:eastAsiaTheme="majorEastAsia" w:hAnsiTheme="majorEastAsia"/>
          <w:szCs w:val="21"/>
        </w:rPr>
      </w:pPr>
      <w:r w:rsidRPr="008B3AEF">
        <w:rPr>
          <w:rFonts w:asciiTheme="minorEastAsia" w:hAnsiTheme="minorEastAsia" w:hint="eastAsia"/>
          <w:szCs w:val="21"/>
        </w:rPr>
        <w:t>（e）　手話の使用を認め、及び促進すること。</w:t>
      </w:r>
    </w:p>
    <w:p w:rsidR="00CE0F12" w:rsidRPr="00435FA0" w:rsidRDefault="00CE0F12" w:rsidP="00CE0F12">
      <w:pPr>
        <w:rPr>
          <w:rFonts w:asciiTheme="majorEastAsia" w:eastAsiaTheme="majorEastAsia" w:hAnsiTheme="majorEastAsia"/>
          <w:szCs w:val="21"/>
        </w:rPr>
      </w:pPr>
    </w:p>
    <w:p w:rsidR="00CE0F12" w:rsidRPr="008B3AEF" w:rsidRDefault="00CE0F12" w:rsidP="00CE0F12">
      <w:pPr>
        <w:pStyle w:val="a8"/>
        <w:numPr>
          <w:ilvl w:val="0"/>
          <w:numId w:val="1"/>
        </w:numPr>
        <w:ind w:leftChars="0" w:left="426" w:hanging="426"/>
        <w:rPr>
          <w:rFonts w:asciiTheme="majorEastAsia" w:eastAsiaTheme="majorEastAsia" w:hAnsiTheme="majorEastAsia"/>
          <w:szCs w:val="21"/>
        </w:rPr>
      </w:pPr>
      <w:r w:rsidRPr="00435FA0">
        <w:rPr>
          <w:rFonts w:asciiTheme="majorEastAsia" w:eastAsiaTheme="majorEastAsia" w:hAnsiTheme="majorEastAsia"/>
          <w:bCs/>
          <w:szCs w:val="21"/>
        </w:rPr>
        <w:t>障害者基本法</w:t>
      </w:r>
    </w:p>
    <w:p w:rsidR="00CE0F12"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 xml:space="preserve">（地域社会における共生等） </w:t>
      </w:r>
    </w:p>
    <w:p w:rsidR="00CE0F12"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 xml:space="preserve">第三条 　第一条に規定する社会の実現は、全ての障害者が、障害者でない者と等しく、基本的人権を享有する個人としてその尊厳が重んぜられ、その尊厳にふさわしい生活を保障される権利を有することを前提としつつ、次に掲げる事項を旨として図られなければならない。 </w:t>
      </w:r>
    </w:p>
    <w:p w:rsidR="00CE0F12" w:rsidRPr="008B3AEF" w:rsidRDefault="00CE0F12" w:rsidP="00CE0F12">
      <w:pPr>
        <w:pStyle w:val="a8"/>
        <w:ind w:leftChars="0" w:left="426"/>
        <w:rPr>
          <w:rFonts w:asciiTheme="majorEastAsia" w:eastAsiaTheme="majorEastAsia" w:hAnsiTheme="majorEastAsia"/>
          <w:szCs w:val="21"/>
        </w:rPr>
      </w:pPr>
      <w:r w:rsidRPr="008B3AEF">
        <w:rPr>
          <w:rFonts w:asciiTheme="minorEastAsia" w:hAnsiTheme="minorEastAsia" w:hint="eastAsia"/>
          <w:szCs w:val="21"/>
        </w:rPr>
        <w:t>三 　全て障害者は、可能な限り、言語（手話を含む。）その他の意思疎通のための手段についての選択の機会が確保されるとともに、情報の取得又は利用のための手段についての選択の機会の拡大が図られること。</w:t>
      </w:r>
    </w:p>
    <w:p w:rsidR="00CE0F12"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 xml:space="preserve">（情報の利用におけるバリアフリー化等） </w:t>
      </w:r>
    </w:p>
    <w:p w:rsidR="00CE0F12"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第二十二条 　国及び地方公共団体は、障害者が円滑に情報を取得し及び利用し、その意思を表示し、並びに他人との意思疎通を図ることができるようにするため、障害者が利用しやすい電子計算機及</w:t>
      </w:r>
      <w:r w:rsidRPr="008B3AEF">
        <w:rPr>
          <w:rFonts w:asciiTheme="minorEastAsia" w:hAnsiTheme="minorEastAsia" w:hint="eastAsia"/>
          <w:szCs w:val="21"/>
        </w:rPr>
        <w:lastRenderedPageBreak/>
        <w:t xml:space="preserve">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 </w:t>
      </w:r>
    </w:p>
    <w:p w:rsidR="00CE0F12" w:rsidRPr="008B3AEF" w:rsidRDefault="00CE0F12" w:rsidP="00CE0F12">
      <w:pPr>
        <w:pStyle w:val="a8"/>
        <w:ind w:leftChars="0" w:left="426"/>
        <w:rPr>
          <w:rFonts w:asciiTheme="majorEastAsia" w:eastAsiaTheme="majorEastAsia" w:hAnsiTheme="majorEastAsia"/>
          <w:szCs w:val="21"/>
        </w:rPr>
      </w:pPr>
      <w:r w:rsidRPr="008B3AEF">
        <w:rPr>
          <w:rFonts w:asciiTheme="minorEastAsia" w:hAnsiTheme="minorEastAsia" w:hint="eastAsia"/>
          <w:szCs w:val="21"/>
        </w:rPr>
        <w:t xml:space="preserve">２ 　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つては、障害者の利用の便宜が図られるよう特に配慮しなければならない。 </w:t>
      </w:r>
    </w:p>
    <w:p w:rsidR="00CE0F12" w:rsidRPr="008B3AEF"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３ 　電気通信及び放送その他の情報の提供に係る役務の提供並びに電子計算機及びその関連装置その他情報通信機器の製造等を行う事業者は、当該役務の提供又は当該機器の製造等に当たつては、障害者の利用の便宜を図るよう努めなければならない。</w:t>
      </w:r>
    </w:p>
    <w:p w:rsidR="00CE0F12" w:rsidRPr="00435FA0" w:rsidRDefault="00CE0F12" w:rsidP="00CE0F12">
      <w:pPr>
        <w:rPr>
          <w:rFonts w:asciiTheme="majorEastAsia" w:eastAsiaTheme="majorEastAsia" w:hAnsiTheme="majorEastAsia"/>
          <w:szCs w:val="21"/>
        </w:rPr>
      </w:pPr>
    </w:p>
    <w:p w:rsidR="00CE0F12" w:rsidRPr="00435FA0" w:rsidRDefault="00CE0F12" w:rsidP="00CE0F12">
      <w:pPr>
        <w:pStyle w:val="a8"/>
        <w:numPr>
          <w:ilvl w:val="0"/>
          <w:numId w:val="1"/>
        </w:numPr>
        <w:ind w:leftChars="0" w:left="426" w:hanging="426"/>
        <w:rPr>
          <w:rFonts w:asciiTheme="majorEastAsia" w:eastAsiaTheme="majorEastAsia" w:hAnsiTheme="majorEastAsia"/>
          <w:szCs w:val="21"/>
        </w:rPr>
      </w:pPr>
      <w:r w:rsidRPr="00435FA0">
        <w:rPr>
          <w:rFonts w:asciiTheme="majorEastAsia" w:eastAsiaTheme="majorEastAsia" w:hAnsiTheme="majorEastAsia"/>
          <w:szCs w:val="21"/>
        </w:rPr>
        <w:t>障害を理由とする差別の解消の推進に関する法律</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szCs w:val="21"/>
        </w:rPr>
        <w:t>（行政機関等における障害を理由とする差別の禁止）</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szCs w:val="21"/>
        </w:rPr>
        <w:t>第七条　行政機関等は、その事務又は事業を行うに当たり、障害を理由として障害者でない者と不当な差別的取扱いをすることにより、障害者の権利利益を侵害してはならない。</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r w:rsidRPr="00435FA0">
        <w:rPr>
          <w:rFonts w:asciiTheme="minorEastAsia" w:hAnsiTheme="minorEastAsia" w:hint="eastAsia"/>
          <w:szCs w:val="21"/>
        </w:rPr>
        <w:t>。</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szCs w:val="21"/>
        </w:rPr>
        <w:t>（事業者における障害を理由とする差別の禁止）</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szCs w:val="21"/>
        </w:rPr>
        <w:t>第八条　事業者は、その事業を行うに当たり、障害を理由として障害者でない者と不当な差別的取扱いをすることにより、障害者の権利利益を侵害してはならない。</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CE0F12" w:rsidRPr="00435FA0" w:rsidRDefault="00CE0F12" w:rsidP="00CE0F12">
      <w:pPr>
        <w:pStyle w:val="a8"/>
        <w:ind w:leftChars="0" w:left="426"/>
        <w:rPr>
          <w:rFonts w:asciiTheme="majorEastAsia" w:eastAsiaTheme="majorEastAsia" w:hAnsiTheme="majorEastAsia"/>
          <w:szCs w:val="21"/>
        </w:rPr>
      </w:pPr>
    </w:p>
    <w:p w:rsidR="00CE0F12" w:rsidRPr="00435FA0" w:rsidRDefault="00CE0F12" w:rsidP="00CE0F12">
      <w:pPr>
        <w:pStyle w:val="a8"/>
        <w:numPr>
          <w:ilvl w:val="0"/>
          <w:numId w:val="1"/>
        </w:numPr>
        <w:ind w:leftChars="0" w:left="426" w:hanging="426"/>
        <w:rPr>
          <w:rFonts w:asciiTheme="majorEastAsia" w:eastAsiaTheme="majorEastAsia" w:hAnsiTheme="majorEastAsia"/>
          <w:szCs w:val="21"/>
        </w:rPr>
      </w:pPr>
      <w:r w:rsidRPr="00435FA0">
        <w:rPr>
          <w:rFonts w:asciiTheme="majorEastAsia" w:eastAsiaTheme="majorEastAsia" w:hAnsiTheme="majorEastAsia" w:hint="eastAsia"/>
          <w:szCs w:val="21"/>
        </w:rPr>
        <w:t>障害のある人もない人も共に暮らしやすい千葉県づくり条例</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hint="eastAsia"/>
          <w:szCs w:val="21"/>
        </w:rPr>
        <w:t>（定義）</w:t>
      </w:r>
    </w:p>
    <w:p w:rsidR="00CE0F12" w:rsidRDefault="00CE0F12" w:rsidP="00CE0F12">
      <w:pPr>
        <w:pStyle w:val="a8"/>
        <w:ind w:leftChars="0" w:left="426"/>
        <w:rPr>
          <w:rFonts w:asciiTheme="minorEastAsia" w:hAnsiTheme="minorEastAsia"/>
          <w:szCs w:val="21"/>
        </w:rPr>
      </w:pPr>
      <w:r w:rsidRPr="00435FA0">
        <w:rPr>
          <w:rFonts w:asciiTheme="minorEastAsia" w:hAnsiTheme="minorEastAsia" w:hint="eastAsia"/>
          <w:szCs w:val="21"/>
        </w:rPr>
        <w:t>第二条　２　この条例において「差別」とは、次の各号に掲げる行為（以下「不利益取扱い」という。）をすること及び障害のある人が障害のない人と実質的に同等の日常生活又は社会生活を営むために必要な合理的な配慮に基づく措置（以下「合理的な配慮に基づく措置」という。）を行わないことをいう。</w:t>
      </w:r>
    </w:p>
    <w:p w:rsidR="00CE0F12"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八　情報を提供し、又は情報の提供を受ける場合において、障害のある人に対して行う次に掲げる行為</w:t>
      </w:r>
    </w:p>
    <w:p w:rsidR="00CE0F12"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イ　障害を理由として、障害のある人に対して情報の提供をするときに、これを拒否し、若しくは制限し、又はこれに条件を課し、その他不利益な取扱いをすること。</w:t>
      </w:r>
    </w:p>
    <w:p w:rsidR="00CE0F12" w:rsidRPr="008B3AEF" w:rsidRDefault="00CE0F12" w:rsidP="00CE0F12">
      <w:pPr>
        <w:pStyle w:val="a8"/>
        <w:ind w:leftChars="0" w:left="426"/>
        <w:rPr>
          <w:rFonts w:asciiTheme="minorEastAsia" w:hAnsiTheme="minorEastAsia"/>
          <w:szCs w:val="21"/>
        </w:rPr>
      </w:pPr>
      <w:r w:rsidRPr="008B3AEF">
        <w:rPr>
          <w:rFonts w:asciiTheme="minorEastAsia" w:hAnsiTheme="minorEastAsia" w:hint="eastAsia"/>
          <w:szCs w:val="21"/>
        </w:rPr>
        <w:t>ロ　障害を理由として、障害のある人が情報の提供をするときに、これを拒否し、若しくは制限し、</w:t>
      </w:r>
      <w:r w:rsidRPr="008B3AEF">
        <w:rPr>
          <w:rFonts w:asciiTheme="minorEastAsia" w:hAnsiTheme="minorEastAsia" w:hint="eastAsia"/>
          <w:szCs w:val="21"/>
        </w:rPr>
        <w:lastRenderedPageBreak/>
        <w:t>又はこれに条件を課し、その他不利益な取扱いをすること。</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hint="eastAsia"/>
          <w:szCs w:val="21"/>
        </w:rPr>
        <w:t>（差別の禁止）</w:t>
      </w:r>
    </w:p>
    <w:p w:rsidR="00CE0F12" w:rsidRPr="00435FA0" w:rsidRDefault="00CE0F12" w:rsidP="00CE0F12">
      <w:pPr>
        <w:pStyle w:val="a8"/>
        <w:ind w:leftChars="0" w:left="426"/>
        <w:rPr>
          <w:rFonts w:asciiTheme="minorEastAsia" w:hAnsiTheme="minorEastAsia"/>
          <w:szCs w:val="21"/>
        </w:rPr>
      </w:pPr>
      <w:r w:rsidRPr="00435FA0">
        <w:rPr>
          <w:rFonts w:asciiTheme="minorEastAsia" w:hAnsiTheme="minorEastAsia" w:hint="eastAsia"/>
          <w:szCs w:val="21"/>
        </w:rPr>
        <w:t>第八条　何人も、障害のある人に対し、差別をしてはならない。ただし、不利益取扱いをしないこと又は合理的な配慮に基づく措置を行うことが、社会通念上相当と認められる範囲を超えた人的負担、物的負担又は経済的負担その他の過重な負担になる場合においては、この限りでない。</w:t>
      </w:r>
    </w:p>
    <w:p w:rsidR="00CE0F12" w:rsidRPr="00435FA0" w:rsidRDefault="00CE0F12" w:rsidP="00CE0F12">
      <w:pPr>
        <w:rPr>
          <w:rFonts w:asciiTheme="majorEastAsia" w:eastAsiaTheme="majorEastAsia" w:hAnsiTheme="majorEastAsia"/>
          <w:szCs w:val="21"/>
        </w:rPr>
      </w:pPr>
    </w:p>
    <w:p w:rsidR="00CE0F12" w:rsidRPr="00435FA0" w:rsidRDefault="00CE0F12" w:rsidP="00CE0F12">
      <w:pPr>
        <w:pStyle w:val="a8"/>
        <w:numPr>
          <w:ilvl w:val="0"/>
          <w:numId w:val="1"/>
        </w:numPr>
        <w:ind w:leftChars="0" w:left="426" w:hanging="426"/>
        <w:rPr>
          <w:rFonts w:asciiTheme="majorEastAsia" w:eastAsiaTheme="majorEastAsia" w:hAnsiTheme="majorEastAsia"/>
          <w:bCs/>
          <w:szCs w:val="21"/>
        </w:rPr>
      </w:pPr>
      <w:r w:rsidRPr="00435FA0">
        <w:rPr>
          <w:rFonts w:asciiTheme="majorEastAsia" w:eastAsiaTheme="majorEastAsia" w:hAnsiTheme="majorEastAsia" w:hint="eastAsia"/>
          <w:bCs/>
          <w:szCs w:val="21"/>
        </w:rPr>
        <w:t>京都府障害のある人もない人も共に安心していきいきと暮らしやすい社会づくり条例</w:t>
      </w:r>
    </w:p>
    <w:p w:rsidR="00CE0F12" w:rsidRPr="00435FA0" w:rsidRDefault="00CE0F12" w:rsidP="00CE0F12">
      <w:pPr>
        <w:pStyle w:val="a8"/>
        <w:ind w:leftChars="0" w:left="426"/>
        <w:rPr>
          <w:rFonts w:asciiTheme="minorEastAsia" w:hAnsiTheme="minorEastAsia"/>
          <w:bCs/>
          <w:szCs w:val="21"/>
        </w:rPr>
      </w:pPr>
      <w:r w:rsidRPr="00435FA0">
        <w:rPr>
          <w:rFonts w:asciiTheme="minorEastAsia" w:hAnsiTheme="minorEastAsia" w:hint="eastAsia"/>
          <w:bCs/>
          <w:szCs w:val="21"/>
        </w:rPr>
        <w:t>（不利益取扱いによる障害者の権利利益の侵害の禁止）</w:t>
      </w:r>
    </w:p>
    <w:p w:rsidR="00CE0F12" w:rsidRDefault="00CE0F12" w:rsidP="00CE0F12">
      <w:pPr>
        <w:pStyle w:val="a8"/>
        <w:ind w:leftChars="0" w:left="426"/>
        <w:rPr>
          <w:rFonts w:asciiTheme="minorEastAsia" w:hAnsiTheme="minorEastAsia"/>
          <w:bCs/>
          <w:szCs w:val="21"/>
        </w:rPr>
      </w:pPr>
      <w:r w:rsidRPr="00435FA0">
        <w:rPr>
          <w:rFonts w:asciiTheme="minorEastAsia" w:hAnsiTheme="minorEastAsia" w:hint="eastAsia"/>
          <w:bCs/>
          <w:szCs w:val="21"/>
        </w:rPr>
        <w:t>第6条　府及び事業者は、障害を理由とする差別の解消の推進に関する法律（平成25年法律第65号）第7条第1項又は第8条第1項の不当な差別的取扱いに該当する、次に掲げる取扱いをはじめとする障害を理由とした不利益な取扱いをすることにより、障害者の権利利益を侵害してはならない。</w:t>
      </w:r>
    </w:p>
    <w:p w:rsidR="00CE0F12" w:rsidRDefault="00CE0F12" w:rsidP="00CE0F12">
      <w:pPr>
        <w:pStyle w:val="a8"/>
        <w:ind w:leftChars="0" w:left="426"/>
        <w:rPr>
          <w:rFonts w:asciiTheme="minorEastAsia" w:hAnsiTheme="minorEastAsia"/>
          <w:bCs/>
          <w:szCs w:val="21"/>
        </w:rPr>
      </w:pPr>
      <w:r w:rsidRPr="008B3AEF">
        <w:rPr>
          <w:rFonts w:asciiTheme="minorEastAsia" w:hAnsiTheme="minorEastAsia" w:hint="eastAsia"/>
          <w:bCs/>
          <w:szCs w:val="21"/>
        </w:rPr>
        <w:t>(8) 障害者に情報を提供し、又は障害者から情報の提供を受ける場合において、当該障害者に対して、次に掲げる取扱いをすること。</w:t>
      </w:r>
    </w:p>
    <w:p w:rsidR="00CE0F12" w:rsidRPr="008B3AEF" w:rsidRDefault="00CE0F12" w:rsidP="00CE0F12">
      <w:pPr>
        <w:pStyle w:val="a8"/>
        <w:ind w:leftChars="0" w:left="426"/>
        <w:rPr>
          <w:rFonts w:asciiTheme="minorEastAsia" w:hAnsiTheme="minorEastAsia"/>
          <w:bCs/>
          <w:szCs w:val="21"/>
        </w:rPr>
      </w:pPr>
      <w:r w:rsidRPr="008B3AEF">
        <w:rPr>
          <w:rFonts w:asciiTheme="minorEastAsia" w:hAnsiTheme="minorEastAsia" w:hint="eastAsia"/>
          <w:bCs/>
          <w:szCs w:val="21"/>
        </w:rPr>
        <w:t>ア　当該障害者から情報の提供を求められた場合において、当該障害者に対して、当該情報を提供することにより他の者の権利利益を侵害するおそれがあると認められる場合その他の合理的な理由がある場合を除き、その障害を理由として、情報の提供を拒み、若しくは制限し、又はこれに条件を付し、その他不利益な取扱いをすること。</w:t>
      </w:r>
    </w:p>
    <w:p w:rsidR="00CE0F12" w:rsidRPr="00435FA0" w:rsidRDefault="00CE0F12" w:rsidP="00CE0F12">
      <w:pPr>
        <w:pStyle w:val="a8"/>
        <w:ind w:leftChars="0" w:left="426"/>
        <w:rPr>
          <w:rFonts w:asciiTheme="minorEastAsia" w:hAnsiTheme="minorEastAsia"/>
          <w:bCs/>
          <w:szCs w:val="21"/>
        </w:rPr>
      </w:pPr>
      <w:r w:rsidRPr="008B3AEF">
        <w:rPr>
          <w:rFonts w:asciiTheme="minorEastAsia" w:hAnsiTheme="minorEastAsia" w:hint="eastAsia"/>
          <w:bCs/>
          <w:szCs w:val="21"/>
        </w:rPr>
        <w:t>イ　当該障害者が意思を表示する場合において、当該障害者に対して、当該障害者が選択した意思表示の方法によっては当該障害者の表示しようとする意思を確認することに著しい支障がある場合その他の合理的な理由がある場合を除き、その障害を理由として、意思の表示を受けることを拒み、若しくは制限し、又はこれに条件を付し、その他不利益な取扱いをすること。</w:t>
      </w:r>
    </w:p>
    <w:p w:rsidR="00CE0F12" w:rsidRPr="00435FA0" w:rsidRDefault="00CE0F12" w:rsidP="00CE0F12">
      <w:pPr>
        <w:pStyle w:val="a8"/>
        <w:ind w:leftChars="0" w:left="426"/>
        <w:rPr>
          <w:rFonts w:asciiTheme="minorEastAsia" w:hAnsiTheme="minorEastAsia"/>
          <w:bCs/>
          <w:szCs w:val="21"/>
        </w:rPr>
      </w:pPr>
      <w:r w:rsidRPr="00435FA0">
        <w:rPr>
          <w:rFonts w:asciiTheme="minorEastAsia" w:hAnsiTheme="minorEastAsia" w:hint="eastAsia"/>
          <w:bCs/>
          <w:szCs w:val="21"/>
        </w:rPr>
        <w:t>（社会的障壁の除去のための合理的な配慮）</w:t>
      </w:r>
    </w:p>
    <w:p w:rsidR="00CE0F12" w:rsidRPr="00435FA0" w:rsidRDefault="00CE0F12" w:rsidP="00CE0F12">
      <w:pPr>
        <w:pStyle w:val="a8"/>
        <w:ind w:leftChars="0" w:left="426"/>
        <w:rPr>
          <w:rFonts w:asciiTheme="minorEastAsia" w:hAnsiTheme="minorEastAsia"/>
          <w:bCs/>
          <w:szCs w:val="21"/>
        </w:rPr>
      </w:pPr>
      <w:r w:rsidRPr="00435FA0">
        <w:rPr>
          <w:rFonts w:asciiTheme="minorEastAsia" w:hAnsiTheme="minorEastAsia" w:hint="eastAsia"/>
          <w:bCs/>
          <w:szCs w:val="21"/>
        </w:rPr>
        <w:t>第8条　府は、その事務又は事業を行うに当たり、障害者から現に社会的障壁の除去を必要としている旨の意思の表明（障害者の保護者、後見人その他の関係者が当該障害者の代理人として行ったもの及びこれらの者が当該障害者の補佐人として行った補佐に係るものを含む。次項において同じ。）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CE0F12" w:rsidRPr="00435FA0" w:rsidRDefault="00CE0F12" w:rsidP="00CE0F12">
      <w:pPr>
        <w:pStyle w:val="a8"/>
        <w:ind w:leftChars="0" w:left="426"/>
        <w:rPr>
          <w:rFonts w:asciiTheme="minorEastAsia" w:hAnsiTheme="minorEastAsia"/>
          <w:bCs/>
          <w:szCs w:val="21"/>
        </w:rPr>
      </w:pPr>
      <w:r w:rsidRPr="00435FA0">
        <w:rPr>
          <w:rFonts w:asciiTheme="minorEastAsia" w:hAnsiTheme="minorEastAsia" w:hint="eastAsia"/>
          <w:bCs/>
          <w:szCs w:val="21"/>
        </w:rPr>
        <w:t>2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前項に規定する配慮をするように努めなければならない。</w:t>
      </w:r>
    </w:p>
    <w:p w:rsidR="00435FA0" w:rsidRPr="00CE0F12" w:rsidRDefault="00435FA0" w:rsidP="00CE0F12">
      <w:pPr>
        <w:jc w:val="center"/>
        <w:rPr>
          <w:rFonts w:asciiTheme="minorEastAsia" w:hAnsiTheme="minorEastAsia"/>
          <w:bCs/>
          <w:szCs w:val="21"/>
        </w:rPr>
      </w:pPr>
    </w:p>
    <w:sectPr w:rsidR="00435FA0" w:rsidRPr="00CE0F12"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D9" w:rsidRDefault="00CD3CD9" w:rsidP="00D21AF0">
      <w:r>
        <w:separator/>
      </w:r>
    </w:p>
  </w:endnote>
  <w:endnote w:type="continuationSeparator" w:id="0">
    <w:p w:rsidR="00CD3CD9" w:rsidRDefault="00CD3CD9"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D7294F" w:rsidRPr="00D7294F">
          <w:rPr>
            <w:noProof/>
            <w:lang w:val="ja-JP"/>
          </w:rPr>
          <w:t>1</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D9" w:rsidRDefault="00CD3CD9" w:rsidP="00D21AF0">
      <w:r>
        <w:separator/>
      </w:r>
    </w:p>
  </w:footnote>
  <w:footnote w:type="continuationSeparator" w:id="0">
    <w:p w:rsidR="00CD3CD9" w:rsidRDefault="00CD3CD9"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4D"/>
    <w:multiLevelType w:val="hybridMultilevel"/>
    <w:tmpl w:val="9E6AC364"/>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1D6F65"/>
    <w:multiLevelType w:val="hybridMultilevel"/>
    <w:tmpl w:val="767867F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D97664"/>
    <w:multiLevelType w:val="hybridMultilevel"/>
    <w:tmpl w:val="3DE29032"/>
    <w:lvl w:ilvl="0" w:tplc="04090017">
      <w:start w:val="1"/>
      <w:numFmt w:val="aiueoFullWidth"/>
      <w:lvlText w:val="(%1)"/>
      <w:lvlJc w:val="left"/>
      <w:pPr>
        <w:ind w:left="844" w:hanging="420"/>
      </w:pPr>
      <w:rPr>
        <w:rFont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0C3B5A54"/>
    <w:multiLevelType w:val="hybridMultilevel"/>
    <w:tmpl w:val="45E83EA4"/>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0E9C26D8"/>
    <w:multiLevelType w:val="hybridMultilevel"/>
    <w:tmpl w:val="E9A28AE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4C1C45"/>
    <w:multiLevelType w:val="hybridMultilevel"/>
    <w:tmpl w:val="89AE7502"/>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7AE299A"/>
    <w:multiLevelType w:val="hybridMultilevel"/>
    <w:tmpl w:val="507C196C"/>
    <w:lvl w:ilvl="0" w:tplc="04090017">
      <w:start w:val="1"/>
      <w:numFmt w:val="aiueoFullWidth"/>
      <w:lvlText w:val="(%1)"/>
      <w:lvlJc w:val="left"/>
      <w:pPr>
        <w:ind w:left="720" w:hanging="360"/>
      </w:pPr>
      <w:rPr>
        <w:rFont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A8C1E42"/>
    <w:multiLevelType w:val="hybridMultilevel"/>
    <w:tmpl w:val="DE80993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BEA089C"/>
    <w:multiLevelType w:val="hybridMultilevel"/>
    <w:tmpl w:val="4A609BA0"/>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1D53E7"/>
    <w:multiLevelType w:val="hybridMultilevel"/>
    <w:tmpl w:val="020CEEC4"/>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2A5650"/>
    <w:multiLevelType w:val="hybridMultilevel"/>
    <w:tmpl w:val="EA8CA99C"/>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1B95248"/>
    <w:multiLevelType w:val="hybridMultilevel"/>
    <w:tmpl w:val="B39E4A92"/>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1CA4F9E"/>
    <w:multiLevelType w:val="hybridMultilevel"/>
    <w:tmpl w:val="57D265F8"/>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A342DCE"/>
    <w:multiLevelType w:val="hybridMultilevel"/>
    <w:tmpl w:val="E7C063D6"/>
    <w:lvl w:ilvl="0" w:tplc="04090017">
      <w:start w:val="1"/>
      <w:numFmt w:val="aiueoFullWidth"/>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44470DE4"/>
    <w:multiLevelType w:val="hybridMultilevel"/>
    <w:tmpl w:val="1516304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DFA310A"/>
    <w:multiLevelType w:val="hybridMultilevel"/>
    <w:tmpl w:val="00FAD028"/>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51353553"/>
    <w:multiLevelType w:val="hybridMultilevel"/>
    <w:tmpl w:val="52FE5FC4"/>
    <w:lvl w:ilvl="0" w:tplc="805CB36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45C1B9D"/>
    <w:multiLevelType w:val="hybridMultilevel"/>
    <w:tmpl w:val="140A473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6D20CF9"/>
    <w:multiLevelType w:val="hybridMultilevel"/>
    <w:tmpl w:val="A3848ECA"/>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58C37F39"/>
    <w:multiLevelType w:val="hybridMultilevel"/>
    <w:tmpl w:val="0EF891E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56051F4"/>
    <w:multiLevelType w:val="hybridMultilevel"/>
    <w:tmpl w:val="91F28BF0"/>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470D82"/>
    <w:multiLevelType w:val="hybridMultilevel"/>
    <w:tmpl w:val="BADADAD6"/>
    <w:lvl w:ilvl="0" w:tplc="746AA1D6">
      <w:start w:val="1"/>
      <w:numFmt w:val="bullet"/>
      <w:lvlText w:val="○"/>
      <w:lvlJc w:val="left"/>
      <w:pPr>
        <w:ind w:left="3196" w:hanging="360"/>
      </w:pPr>
      <w:rPr>
        <w:rFonts w:ascii="HG丸ｺﾞｼｯｸM-PRO" w:eastAsia="HG丸ｺﾞｼｯｸM-PRO" w:hAnsi="HG丸ｺﾞｼｯｸM-PRO" w:hint="eastAsia"/>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nsid w:val="78A816CB"/>
    <w:multiLevelType w:val="hybridMultilevel"/>
    <w:tmpl w:val="4874D5FA"/>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9"/>
  </w:num>
  <w:num w:numId="3">
    <w:abstractNumId w:val="0"/>
  </w:num>
  <w:num w:numId="4">
    <w:abstractNumId w:val="21"/>
  </w:num>
  <w:num w:numId="5">
    <w:abstractNumId w:val="18"/>
  </w:num>
  <w:num w:numId="6">
    <w:abstractNumId w:val="14"/>
  </w:num>
  <w:num w:numId="7">
    <w:abstractNumId w:val="22"/>
  </w:num>
  <w:num w:numId="8">
    <w:abstractNumId w:val="17"/>
  </w:num>
  <w:num w:numId="9">
    <w:abstractNumId w:val="4"/>
  </w:num>
  <w:num w:numId="10">
    <w:abstractNumId w:val="23"/>
  </w:num>
  <w:num w:numId="11">
    <w:abstractNumId w:val="20"/>
  </w:num>
  <w:num w:numId="12">
    <w:abstractNumId w:val="13"/>
  </w:num>
  <w:num w:numId="13">
    <w:abstractNumId w:val="8"/>
  </w:num>
  <w:num w:numId="14">
    <w:abstractNumId w:val="7"/>
  </w:num>
  <w:num w:numId="15">
    <w:abstractNumId w:val="15"/>
  </w:num>
  <w:num w:numId="16">
    <w:abstractNumId w:val="2"/>
  </w:num>
  <w:num w:numId="17">
    <w:abstractNumId w:val="10"/>
  </w:num>
  <w:num w:numId="18">
    <w:abstractNumId w:val="6"/>
  </w:num>
  <w:num w:numId="19">
    <w:abstractNumId w:val="19"/>
  </w:num>
  <w:num w:numId="20">
    <w:abstractNumId w:val="12"/>
  </w:num>
  <w:num w:numId="21">
    <w:abstractNumId w:val="1"/>
  </w:num>
  <w:num w:numId="22">
    <w:abstractNumId w:val="3"/>
  </w:num>
  <w:num w:numId="23">
    <w:abstractNumId w:val="11"/>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410F6"/>
    <w:rsid w:val="000514ED"/>
    <w:rsid w:val="00053202"/>
    <w:rsid w:val="0005401D"/>
    <w:rsid w:val="000561B3"/>
    <w:rsid w:val="00076E2A"/>
    <w:rsid w:val="00092538"/>
    <w:rsid w:val="000A2E8F"/>
    <w:rsid w:val="000D24A5"/>
    <w:rsid w:val="000E23C7"/>
    <w:rsid w:val="000E571A"/>
    <w:rsid w:val="00105DC6"/>
    <w:rsid w:val="001116AB"/>
    <w:rsid w:val="001205B7"/>
    <w:rsid w:val="001432D6"/>
    <w:rsid w:val="001568E1"/>
    <w:rsid w:val="00167E87"/>
    <w:rsid w:val="00195602"/>
    <w:rsid w:val="001A62FA"/>
    <w:rsid w:val="001A7BD5"/>
    <w:rsid w:val="001D2102"/>
    <w:rsid w:val="001D43D7"/>
    <w:rsid w:val="001D478E"/>
    <w:rsid w:val="001F21EB"/>
    <w:rsid w:val="002649F1"/>
    <w:rsid w:val="00264EEB"/>
    <w:rsid w:val="002E3E8E"/>
    <w:rsid w:val="002E4113"/>
    <w:rsid w:val="00307FB4"/>
    <w:rsid w:val="00310568"/>
    <w:rsid w:val="00331F5A"/>
    <w:rsid w:val="00347ED2"/>
    <w:rsid w:val="003640FA"/>
    <w:rsid w:val="00373F6F"/>
    <w:rsid w:val="003A5B84"/>
    <w:rsid w:val="003B390E"/>
    <w:rsid w:val="0042370B"/>
    <w:rsid w:val="00423F52"/>
    <w:rsid w:val="00435FA0"/>
    <w:rsid w:val="004574DD"/>
    <w:rsid w:val="00463AA5"/>
    <w:rsid w:val="00496777"/>
    <w:rsid w:val="004A1A7B"/>
    <w:rsid w:val="004D1AB4"/>
    <w:rsid w:val="004D7BC6"/>
    <w:rsid w:val="004F495A"/>
    <w:rsid w:val="004F72DC"/>
    <w:rsid w:val="00504DE7"/>
    <w:rsid w:val="00532624"/>
    <w:rsid w:val="00533E55"/>
    <w:rsid w:val="00547C05"/>
    <w:rsid w:val="0056608C"/>
    <w:rsid w:val="00593BC8"/>
    <w:rsid w:val="005A2507"/>
    <w:rsid w:val="005D4ACC"/>
    <w:rsid w:val="005E5D95"/>
    <w:rsid w:val="005F457D"/>
    <w:rsid w:val="00643B37"/>
    <w:rsid w:val="006603F7"/>
    <w:rsid w:val="006F293D"/>
    <w:rsid w:val="00703372"/>
    <w:rsid w:val="00740640"/>
    <w:rsid w:val="007970B6"/>
    <w:rsid w:val="007A2691"/>
    <w:rsid w:val="007B1830"/>
    <w:rsid w:val="007D26D9"/>
    <w:rsid w:val="007F1030"/>
    <w:rsid w:val="00810EE9"/>
    <w:rsid w:val="008149F2"/>
    <w:rsid w:val="00817771"/>
    <w:rsid w:val="00822A8D"/>
    <w:rsid w:val="0084177F"/>
    <w:rsid w:val="00852353"/>
    <w:rsid w:val="008760CD"/>
    <w:rsid w:val="00876967"/>
    <w:rsid w:val="00880871"/>
    <w:rsid w:val="008C1204"/>
    <w:rsid w:val="008C1D15"/>
    <w:rsid w:val="008C474F"/>
    <w:rsid w:val="008D3861"/>
    <w:rsid w:val="008E4F3D"/>
    <w:rsid w:val="008F229A"/>
    <w:rsid w:val="008F3D51"/>
    <w:rsid w:val="00910C81"/>
    <w:rsid w:val="009157B0"/>
    <w:rsid w:val="00915B4A"/>
    <w:rsid w:val="00961E25"/>
    <w:rsid w:val="0097689A"/>
    <w:rsid w:val="00994D30"/>
    <w:rsid w:val="009A7B21"/>
    <w:rsid w:val="009C6403"/>
    <w:rsid w:val="009D1D10"/>
    <w:rsid w:val="00A04A74"/>
    <w:rsid w:val="00A27EFE"/>
    <w:rsid w:val="00A33818"/>
    <w:rsid w:val="00A454B7"/>
    <w:rsid w:val="00A47025"/>
    <w:rsid w:val="00A91685"/>
    <w:rsid w:val="00AA3065"/>
    <w:rsid w:val="00AA6C1D"/>
    <w:rsid w:val="00AE3975"/>
    <w:rsid w:val="00AE5C37"/>
    <w:rsid w:val="00B021C1"/>
    <w:rsid w:val="00B11612"/>
    <w:rsid w:val="00B1232B"/>
    <w:rsid w:val="00B22886"/>
    <w:rsid w:val="00B42BDF"/>
    <w:rsid w:val="00B63A06"/>
    <w:rsid w:val="00B81D0A"/>
    <w:rsid w:val="00B915B3"/>
    <w:rsid w:val="00BA0595"/>
    <w:rsid w:val="00BA565D"/>
    <w:rsid w:val="00BA662A"/>
    <w:rsid w:val="00BB365E"/>
    <w:rsid w:val="00BC6081"/>
    <w:rsid w:val="00BE611B"/>
    <w:rsid w:val="00BF2741"/>
    <w:rsid w:val="00BF593D"/>
    <w:rsid w:val="00C01820"/>
    <w:rsid w:val="00C046C7"/>
    <w:rsid w:val="00C11AE8"/>
    <w:rsid w:val="00C23EAE"/>
    <w:rsid w:val="00C32C5F"/>
    <w:rsid w:val="00C94DDE"/>
    <w:rsid w:val="00CB2891"/>
    <w:rsid w:val="00CB59C4"/>
    <w:rsid w:val="00CC13FE"/>
    <w:rsid w:val="00CD3CD9"/>
    <w:rsid w:val="00CD612E"/>
    <w:rsid w:val="00CE0F12"/>
    <w:rsid w:val="00CE29D9"/>
    <w:rsid w:val="00CE305C"/>
    <w:rsid w:val="00D12812"/>
    <w:rsid w:val="00D21AF0"/>
    <w:rsid w:val="00D223EA"/>
    <w:rsid w:val="00D3644E"/>
    <w:rsid w:val="00D6651A"/>
    <w:rsid w:val="00D7294F"/>
    <w:rsid w:val="00D747A8"/>
    <w:rsid w:val="00D818A4"/>
    <w:rsid w:val="00D90255"/>
    <w:rsid w:val="00DA7419"/>
    <w:rsid w:val="00DF089D"/>
    <w:rsid w:val="00E17BAC"/>
    <w:rsid w:val="00E27276"/>
    <w:rsid w:val="00E364EF"/>
    <w:rsid w:val="00E3741A"/>
    <w:rsid w:val="00E80C53"/>
    <w:rsid w:val="00E97961"/>
    <w:rsid w:val="00ED3608"/>
    <w:rsid w:val="00EE5B2D"/>
    <w:rsid w:val="00EF0C07"/>
    <w:rsid w:val="00EF3FA0"/>
    <w:rsid w:val="00F0026F"/>
    <w:rsid w:val="00F22069"/>
    <w:rsid w:val="00F225CD"/>
    <w:rsid w:val="00F37E70"/>
    <w:rsid w:val="00F602D4"/>
    <w:rsid w:val="00F9340F"/>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68</cp:revision>
  <cp:lastPrinted>2014-05-22T06:39:00Z</cp:lastPrinted>
  <dcterms:created xsi:type="dcterms:W3CDTF">2014-03-26T02:07:00Z</dcterms:created>
  <dcterms:modified xsi:type="dcterms:W3CDTF">2014-05-28T05:13:00Z</dcterms:modified>
</cp:coreProperties>
</file>