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E12AE9" w:rsidRDefault="00883A09" w:rsidP="00094605">
      <w:pPr>
        <w:jc w:val="center"/>
        <w:rPr>
          <w:rFonts w:ascii="ＭＳ ゴシック" w:eastAsia="ＭＳ ゴシック" w:hAnsi="ＭＳ ゴシック"/>
          <w:sz w:val="28"/>
        </w:rPr>
      </w:pPr>
      <w:r w:rsidRPr="008E5FC5">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D1E64D9" wp14:editId="520FA9FB">
                <wp:simplePos x="0" y="0"/>
                <wp:positionH relativeFrom="column">
                  <wp:posOffset>5372100</wp:posOffset>
                </wp:positionH>
                <wp:positionV relativeFrom="paragraph">
                  <wp:posOffset>-295275</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bg1"/>
                        </a:solidFill>
                        <a:ln w="12700">
                          <a:solidFill>
                            <a:schemeClr val="tx1"/>
                          </a:solidFill>
                        </a:ln>
                      </wps:spPr>
                      <wps:txbx>
                        <w:txbxContent>
                          <w:p w:rsidR="00883A09" w:rsidRPr="0055770A" w:rsidRDefault="00883A09" w:rsidP="00883A09">
                            <w:pPr>
                              <w:pStyle w:val="Web"/>
                              <w:spacing w:before="0" w:beforeAutospacing="0" w:after="0" w:afterAutospacing="0" w:line="240" w:lineRule="exact"/>
                              <w:jc w:val="center"/>
                              <w:rPr>
                                <w:rFonts w:ascii="ＭＳ ゴシック" w:eastAsia="ＭＳ ゴシック" w:hAnsi="ＭＳ ゴシック"/>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sidR="00B43AF9">
                              <w:rPr>
                                <w:rFonts w:ascii="ＭＳ ゴシック" w:eastAsia="ＭＳ ゴシック" w:hAnsi="ＭＳ ゴシック" w:cstheme="minorBidi" w:hint="eastAsia"/>
                                <w:color w:val="000000" w:themeColor="text1"/>
                                <w:kern w:val="24"/>
                              </w:rPr>
                              <w:t>４</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D1E64D9" id="_x0000_t202" coordsize="21600,21600" o:spt="202" path="m,l,21600r21600,l21600,xe">
                <v:stroke joinstyle="miter"/>
                <v:path gradientshapeok="t" o:connecttype="rect"/>
              </v:shapetype>
              <v:shape id="テキスト ボックス 6" o:spid="_x0000_s1026" type="#_x0000_t202" style="position:absolute;left:0;text-align:left;margin-left:423pt;margin-top:-23.25pt;width:8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" fillcolor="white [3212]" strokecolor="black [3213]" strokeweight="1pt">
                <v:textbox inset="0,0,0,0">
                  <w:txbxContent>
                    <w:p w:rsidR="00883A09" w:rsidRPr="0055770A" w:rsidRDefault="00883A09" w:rsidP="00883A09">
                      <w:pPr>
                        <w:pStyle w:val="Web"/>
                        <w:spacing w:before="0" w:beforeAutospacing="0" w:after="0" w:afterAutospacing="0" w:line="240" w:lineRule="exact"/>
                        <w:jc w:val="center"/>
                        <w:rPr>
                          <w:rFonts w:ascii="ＭＳ ゴシック" w:eastAsia="ＭＳ ゴシック" w:hAnsi="ＭＳ ゴシック"/>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sidR="00B43AF9">
                        <w:rPr>
                          <w:rFonts w:ascii="ＭＳ ゴシック" w:eastAsia="ＭＳ ゴシック" w:hAnsi="ＭＳ ゴシック" w:cstheme="minorBidi" w:hint="eastAsia"/>
                          <w:color w:val="000000" w:themeColor="text1"/>
                          <w:kern w:val="24"/>
                        </w:rPr>
                        <w:t>４</w:t>
                      </w:r>
                      <w:bookmarkStart w:id="1" w:name="_GoBack"/>
                      <w:bookmarkEnd w:id="1"/>
                    </w:p>
                  </w:txbxContent>
                </v:textbox>
              </v:shape>
            </w:pict>
          </mc:Fallback>
        </mc:AlternateContent>
      </w:r>
      <w:r w:rsidR="00DF0E75" w:rsidRPr="00E12AE9">
        <w:rPr>
          <w:rFonts w:ascii="ＭＳ ゴシック" w:eastAsia="ＭＳ ゴシック" w:hAnsi="ＭＳ ゴシック" w:hint="eastAsia"/>
          <w:sz w:val="28"/>
        </w:rPr>
        <w:t>地方公共団体実行計画（区域施策編）策定・実施マニュアルについて</w:t>
      </w:r>
    </w:p>
    <w:p w:rsidR="00DF0E75" w:rsidRPr="00094605" w:rsidRDefault="00DF0E75" w:rsidP="00A450C6">
      <w:pPr>
        <w:rPr>
          <w:sz w:val="24"/>
        </w:rPr>
      </w:pPr>
    </w:p>
    <w:p w:rsidR="00FC2636" w:rsidRPr="00E12AE9" w:rsidRDefault="009C36DD" w:rsidP="00094605">
      <w:pPr>
        <w:ind w:firstLineChars="100" w:firstLine="240"/>
        <w:rPr>
          <w:sz w:val="24"/>
          <w:szCs w:val="21"/>
        </w:rPr>
      </w:pPr>
      <w:r w:rsidRPr="00E12AE9">
        <w:rPr>
          <w:rFonts w:hint="eastAsia"/>
          <w:sz w:val="24"/>
          <w:szCs w:val="21"/>
        </w:rPr>
        <w:t>地方公共団体実行計画（区域施策編）策定・実施マニュアル</w:t>
      </w:r>
      <w:r w:rsidR="00094605" w:rsidRPr="00E12AE9">
        <w:rPr>
          <w:rFonts w:hint="eastAsia"/>
          <w:sz w:val="24"/>
          <w:szCs w:val="21"/>
        </w:rPr>
        <w:t>（平成</w:t>
      </w:r>
      <w:r w:rsidR="00094605" w:rsidRPr="00E12AE9">
        <w:rPr>
          <w:rFonts w:hint="eastAsia"/>
          <w:sz w:val="24"/>
          <w:szCs w:val="21"/>
        </w:rPr>
        <w:t>29</w:t>
      </w:r>
      <w:r w:rsidR="00094605" w:rsidRPr="00E12AE9">
        <w:rPr>
          <w:rFonts w:hint="eastAsia"/>
          <w:sz w:val="24"/>
          <w:szCs w:val="21"/>
        </w:rPr>
        <w:t>年３月環境省総合環境政策局環境計画課策定）（以下「策定マニュアル」という</w:t>
      </w:r>
      <w:r w:rsidR="00517851">
        <w:rPr>
          <w:rFonts w:hint="eastAsia"/>
          <w:sz w:val="24"/>
          <w:szCs w:val="21"/>
        </w:rPr>
        <w:t>。</w:t>
      </w:r>
      <w:r w:rsidR="00094605" w:rsidRPr="00E12AE9">
        <w:rPr>
          <w:rFonts w:hint="eastAsia"/>
          <w:sz w:val="24"/>
          <w:szCs w:val="21"/>
        </w:rPr>
        <w:t>）</w:t>
      </w:r>
      <w:r w:rsidRPr="00E12AE9">
        <w:rPr>
          <w:rFonts w:hint="eastAsia"/>
          <w:sz w:val="24"/>
          <w:szCs w:val="21"/>
        </w:rPr>
        <w:t>は</w:t>
      </w:r>
      <w:r w:rsidR="00094605" w:rsidRPr="00E12AE9">
        <w:rPr>
          <w:rFonts w:hint="eastAsia"/>
          <w:sz w:val="24"/>
          <w:szCs w:val="21"/>
        </w:rPr>
        <w:t>、</w:t>
      </w:r>
      <w:r w:rsidR="005D5A43" w:rsidRPr="00E12AE9">
        <w:rPr>
          <w:rFonts w:hint="eastAsia"/>
          <w:sz w:val="24"/>
          <w:szCs w:val="21"/>
        </w:rPr>
        <w:t>環境省が、地球温暖化対策の推進に関する法律（平成</w:t>
      </w:r>
      <w:r w:rsidR="005D5A43" w:rsidRPr="00E12AE9">
        <w:rPr>
          <w:rFonts w:hint="eastAsia"/>
          <w:sz w:val="24"/>
          <w:szCs w:val="21"/>
        </w:rPr>
        <w:t xml:space="preserve">10 </w:t>
      </w:r>
      <w:r w:rsidR="005D5A43" w:rsidRPr="00E12AE9">
        <w:rPr>
          <w:rFonts w:hint="eastAsia"/>
          <w:sz w:val="24"/>
          <w:szCs w:val="21"/>
        </w:rPr>
        <w:t>年法律第</w:t>
      </w:r>
      <w:r w:rsidR="005D5A43" w:rsidRPr="00E12AE9">
        <w:rPr>
          <w:rFonts w:hint="eastAsia"/>
          <w:sz w:val="24"/>
          <w:szCs w:val="21"/>
        </w:rPr>
        <w:t>117</w:t>
      </w:r>
      <w:r w:rsidR="005D5A43" w:rsidRPr="00E12AE9">
        <w:rPr>
          <w:rFonts w:hint="eastAsia"/>
          <w:sz w:val="24"/>
          <w:szCs w:val="21"/>
        </w:rPr>
        <w:t>号）第３条第</w:t>
      </w:r>
      <w:r w:rsidR="005D5A43" w:rsidRPr="00E12AE9">
        <w:rPr>
          <w:rFonts w:hint="eastAsia"/>
          <w:sz w:val="24"/>
          <w:szCs w:val="21"/>
        </w:rPr>
        <w:t xml:space="preserve">3 </w:t>
      </w:r>
      <w:r w:rsidR="005D5A43" w:rsidRPr="00E12AE9">
        <w:rPr>
          <w:rFonts w:hint="eastAsia"/>
          <w:sz w:val="24"/>
          <w:szCs w:val="21"/>
        </w:rPr>
        <w:t>項に基づく国の責務の一環として、地方自治法（昭和</w:t>
      </w:r>
      <w:r w:rsidR="005D5A43" w:rsidRPr="00E12AE9">
        <w:rPr>
          <w:rFonts w:hint="eastAsia"/>
          <w:sz w:val="24"/>
          <w:szCs w:val="21"/>
        </w:rPr>
        <w:t xml:space="preserve">22 </w:t>
      </w:r>
      <w:r w:rsidR="005D5A43" w:rsidRPr="00E12AE9">
        <w:rPr>
          <w:rFonts w:hint="eastAsia"/>
          <w:sz w:val="24"/>
          <w:szCs w:val="21"/>
        </w:rPr>
        <w:t>年法律第</w:t>
      </w:r>
      <w:r w:rsidR="005D5A43" w:rsidRPr="00E12AE9">
        <w:rPr>
          <w:rFonts w:hint="eastAsia"/>
          <w:sz w:val="24"/>
          <w:szCs w:val="21"/>
        </w:rPr>
        <w:t xml:space="preserve">67 </w:t>
      </w:r>
      <w:r w:rsidR="005D5A43" w:rsidRPr="00E12AE9">
        <w:rPr>
          <w:rFonts w:hint="eastAsia"/>
          <w:sz w:val="24"/>
          <w:szCs w:val="21"/>
        </w:rPr>
        <w:t>号）第</w:t>
      </w:r>
      <w:r w:rsidR="005D5A43" w:rsidRPr="00E12AE9">
        <w:rPr>
          <w:rFonts w:hint="eastAsia"/>
          <w:sz w:val="24"/>
          <w:szCs w:val="21"/>
        </w:rPr>
        <w:t xml:space="preserve">245 </w:t>
      </w:r>
      <w:r w:rsidR="005D5A43" w:rsidRPr="00E12AE9">
        <w:rPr>
          <w:rFonts w:hint="eastAsia"/>
          <w:sz w:val="24"/>
          <w:szCs w:val="21"/>
        </w:rPr>
        <w:t>条の</w:t>
      </w:r>
      <w:r w:rsidR="005D5A43" w:rsidRPr="00E12AE9">
        <w:rPr>
          <w:rFonts w:hint="eastAsia"/>
          <w:sz w:val="24"/>
          <w:szCs w:val="21"/>
        </w:rPr>
        <w:t xml:space="preserve">4 </w:t>
      </w:r>
      <w:r w:rsidR="005D5A43" w:rsidRPr="00E12AE9">
        <w:rPr>
          <w:rFonts w:hint="eastAsia"/>
          <w:sz w:val="24"/>
          <w:szCs w:val="21"/>
        </w:rPr>
        <w:t>に基づいて示す技術的な助言である。</w:t>
      </w:r>
    </w:p>
    <w:p w:rsidR="00DF0E75" w:rsidRPr="00E12AE9" w:rsidRDefault="00094605" w:rsidP="00094605">
      <w:pPr>
        <w:ind w:firstLineChars="100" w:firstLine="240"/>
        <w:rPr>
          <w:sz w:val="24"/>
          <w:szCs w:val="21"/>
        </w:rPr>
      </w:pPr>
      <w:r w:rsidRPr="00E12AE9">
        <w:rPr>
          <w:rFonts w:hint="eastAsia"/>
          <w:sz w:val="24"/>
          <w:szCs w:val="21"/>
        </w:rPr>
        <w:t>策定</w:t>
      </w:r>
      <w:r w:rsidR="0062533D" w:rsidRPr="00E12AE9">
        <w:rPr>
          <w:rFonts w:hint="eastAsia"/>
          <w:sz w:val="24"/>
          <w:szCs w:val="21"/>
        </w:rPr>
        <w:t>マニュアルでは、部門別に実績値の把握状況や推計作業の効率化等の観点から複数の推計手法を解説している。</w:t>
      </w:r>
    </w:p>
    <w:p w:rsidR="00D33E2F" w:rsidRPr="00E12AE9" w:rsidRDefault="00D33E2F" w:rsidP="0009053C">
      <w:pPr>
        <w:rPr>
          <w:sz w:val="24"/>
        </w:rPr>
      </w:pPr>
    </w:p>
    <w:p w:rsidR="0009053C" w:rsidRPr="004E4D0B" w:rsidRDefault="00D33E2F" w:rsidP="0009053C">
      <w:pPr>
        <w:rPr>
          <w:rFonts w:ascii="ＭＳ 明朝" w:hAnsi="ＭＳ 明朝"/>
          <w:b/>
          <w:sz w:val="24"/>
        </w:rPr>
      </w:pPr>
      <w:r w:rsidRPr="004E4D0B">
        <w:rPr>
          <w:rFonts w:ascii="ＭＳ 明朝" w:hAnsi="ＭＳ 明朝" w:hint="eastAsia"/>
          <w:b/>
          <w:sz w:val="24"/>
        </w:rPr>
        <w:t>〇</w:t>
      </w:r>
      <w:r w:rsidR="00D96389" w:rsidRPr="004E4D0B">
        <w:rPr>
          <w:rFonts w:ascii="ＭＳ 明朝" w:hAnsi="ＭＳ 明朝" w:hint="eastAsia"/>
          <w:b/>
          <w:sz w:val="24"/>
        </w:rPr>
        <w:t>エネルギー起源CO</w:t>
      </w:r>
      <w:r w:rsidR="00D96389" w:rsidRPr="004E4D0B">
        <w:rPr>
          <w:rFonts w:ascii="ＭＳ 明朝" w:hAnsi="ＭＳ 明朝" w:hint="eastAsia"/>
          <w:b/>
          <w:sz w:val="24"/>
          <w:vertAlign w:val="subscript"/>
        </w:rPr>
        <w:t>２</w:t>
      </w:r>
      <w:r w:rsidR="00D96389" w:rsidRPr="004E4D0B">
        <w:rPr>
          <w:rFonts w:ascii="ＭＳ 明朝" w:hAnsi="ＭＳ 明朝" w:hint="eastAsia"/>
          <w:b/>
          <w:sz w:val="24"/>
        </w:rPr>
        <w:t>に関して</w:t>
      </w:r>
      <w:r w:rsidRPr="004E4D0B">
        <w:rPr>
          <w:rFonts w:ascii="ＭＳ 明朝" w:hAnsi="ＭＳ 明朝" w:hint="eastAsia"/>
          <w:b/>
          <w:sz w:val="24"/>
        </w:rPr>
        <w:t>示されている算定手法について</w:t>
      </w:r>
    </w:p>
    <w:p w:rsidR="00D653F1" w:rsidRDefault="00FA0B25" w:rsidP="0009053C">
      <w:pPr>
        <w:rPr>
          <w:sz w:val="24"/>
        </w:rPr>
      </w:pPr>
      <w:r>
        <w:rPr>
          <w:noProof/>
        </w:rPr>
        <w:drawing>
          <wp:anchor distT="0" distB="0" distL="114300" distR="114300" simplePos="0" relativeHeight="251669504" behindDoc="0" locked="0" layoutInCell="1" allowOverlap="1">
            <wp:simplePos x="0" y="0"/>
            <wp:positionH relativeFrom="column">
              <wp:posOffset>192405</wp:posOffset>
            </wp:positionH>
            <wp:positionV relativeFrom="paragraph">
              <wp:posOffset>23050</wp:posOffset>
            </wp:positionV>
            <wp:extent cx="5925787" cy="407861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5787" cy="4078614"/>
                    </a:xfrm>
                    <a:prstGeom prst="rect">
                      <a:avLst/>
                    </a:prstGeom>
                  </pic:spPr>
                </pic:pic>
              </a:graphicData>
            </a:graphic>
            <wp14:sizeRelH relativeFrom="page">
              <wp14:pctWidth>0</wp14:pctWidth>
            </wp14:sizeRelH>
            <wp14:sizeRelV relativeFrom="page">
              <wp14:pctHeight>0</wp14:pctHeight>
            </wp14:sizeRelV>
          </wp:anchor>
        </w:drawing>
      </w: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D653F1" w:rsidP="0009053C">
      <w:pPr>
        <w:rPr>
          <w:sz w:val="24"/>
        </w:rPr>
      </w:pPr>
    </w:p>
    <w:p w:rsidR="00D653F1" w:rsidRDefault="00A84A54" w:rsidP="0009053C">
      <w:pPr>
        <w:rPr>
          <w:sz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4419133</wp:posOffset>
                </wp:positionH>
                <wp:positionV relativeFrom="paragraph">
                  <wp:posOffset>192136</wp:posOffset>
                </wp:positionV>
                <wp:extent cx="187480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808" cy="1404620"/>
                        </a:xfrm>
                        <a:prstGeom prst="rect">
                          <a:avLst/>
                        </a:prstGeom>
                        <a:noFill/>
                        <a:ln w="9525">
                          <a:noFill/>
                          <a:miter lim="800000"/>
                          <a:headEnd/>
                          <a:tailEnd/>
                        </a:ln>
                      </wps:spPr>
                      <wps:txbx>
                        <w:txbxContent>
                          <w:p w:rsidR="00A32389" w:rsidRDefault="00094605">
                            <w:r>
                              <w:rPr>
                                <w:rFonts w:hint="eastAsia"/>
                              </w:rPr>
                              <w:t>策定</w:t>
                            </w:r>
                            <w:r w:rsidR="00A32389">
                              <w:rPr>
                                <w:rFonts w:hint="eastAsia"/>
                              </w:rPr>
                              <w:t>マニュアル</w:t>
                            </w:r>
                            <w:r w:rsidR="00A32389">
                              <w:t>より</w:t>
                            </w:r>
                            <w:r w:rsidR="00A32389">
                              <w:rPr>
                                <w:rFonts w:hint="eastAsia"/>
                              </w:rPr>
                              <w:t>引用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47.95pt;margin-top:15.15pt;width:147.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" filled="f" stroked="f">
                <v:textbox style="mso-fit-shape-to-text:t">
                  <w:txbxContent>
                    <w:p w:rsidR="00A32389" w:rsidRDefault="00094605">
                      <w:r>
                        <w:rPr>
                          <w:rFonts w:hint="eastAsia"/>
                        </w:rPr>
                        <w:t>策定</w:t>
                      </w:r>
                      <w:r w:rsidR="00A32389">
                        <w:rPr>
                          <w:rFonts w:hint="eastAsia"/>
                        </w:rPr>
                        <w:t>マニュアル</w:t>
                      </w:r>
                      <w:r w:rsidR="00A32389">
                        <w:t>より</w:t>
                      </w:r>
                      <w:r w:rsidR="00A32389">
                        <w:rPr>
                          <w:rFonts w:hint="eastAsia"/>
                        </w:rPr>
                        <w:t>引用</w:t>
                      </w:r>
                    </w:p>
                  </w:txbxContent>
                </v:textbox>
              </v:shape>
            </w:pict>
          </mc:Fallback>
        </mc:AlternateContent>
      </w:r>
    </w:p>
    <w:p w:rsidR="00D653F1" w:rsidRDefault="00D653F1" w:rsidP="0009053C">
      <w:pPr>
        <w:rPr>
          <w:sz w:val="24"/>
        </w:rPr>
      </w:pPr>
    </w:p>
    <w:p w:rsidR="00A84A54" w:rsidRPr="004E4D0B" w:rsidRDefault="00A84A54" w:rsidP="00A84A54">
      <w:pPr>
        <w:rPr>
          <w:rFonts w:ascii="ＭＳ 明朝" w:hAnsi="ＭＳ 明朝"/>
          <w:b/>
          <w:sz w:val="24"/>
        </w:rPr>
      </w:pPr>
      <w:r w:rsidRPr="004E4D0B">
        <w:rPr>
          <w:rFonts w:ascii="ＭＳ 明朝" w:hAnsi="ＭＳ 明朝" w:hint="eastAsia"/>
          <w:b/>
          <w:sz w:val="24"/>
        </w:rPr>
        <w:t>〇エネルギー起源CO</w:t>
      </w:r>
      <w:r w:rsidRPr="004E4D0B">
        <w:rPr>
          <w:rFonts w:ascii="ＭＳ 明朝" w:hAnsi="ＭＳ 明朝" w:hint="eastAsia"/>
          <w:b/>
          <w:sz w:val="24"/>
          <w:vertAlign w:val="subscript"/>
        </w:rPr>
        <w:t>２</w:t>
      </w:r>
      <w:r w:rsidR="002E5C0B" w:rsidRPr="004E4D0B">
        <w:rPr>
          <w:rFonts w:ascii="ＭＳ 明朝" w:hAnsi="ＭＳ 明朝" w:hint="eastAsia"/>
          <w:b/>
          <w:sz w:val="24"/>
        </w:rPr>
        <w:t>以外の温室効果ガスの</w:t>
      </w:r>
      <w:r w:rsidRPr="004E4D0B">
        <w:rPr>
          <w:rFonts w:ascii="ＭＳ 明朝" w:hAnsi="ＭＳ 明朝" w:hint="eastAsia"/>
          <w:b/>
          <w:sz w:val="24"/>
        </w:rPr>
        <w:t>算定手法について</w:t>
      </w:r>
    </w:p>
    <w:p w:rsidR="00D653F1" w:rsidRPr="00A84A54" w:rsidRDefault="005062F6" w:rsidP="0009053C">
      <w:pPr>
        <w:rPr>
          <w:sz w:val="24"/>
        </w:rPr>
      </w:pPr>
      <w:bookmarkStart w:id="0" w:name="_GoBack"/>
      <w:r>
        <w:rPr>
          <w:noProof/>
        </w:rPr>
        <w:drawing>
          <wp:anchor distT="0" distB="0" distL="114300" distR="114300" simplePos="0" relativeHeight="251668480" behindDoc="0" locked="0" layoutInCell="1" allowOverlap="1">
            <wp:simplePos x="0" y="0"/>
            <wp:positionH relativeFrom="column">
              <wp:posOffset>869702</wp:posOffset>
            </wp:positionH>
            <wp:positionV relativeFrom="paragraph">
              <wp:posOffset>28229</wp:posOffset>
            </wp:positionV>
            <wp:extent cx="4585541" cy="1347526"/>
            <wp:effectExtent l="0" t="0" r="5715"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5541" cy="1347526"/>
                    </a:xfrm>
                    <a:prstGeom prst="rect">
                      <a:avLst/>
                    </a:prstGeom>
                  </pic:spPr>
                </pic:pic>
              </a:graphicData>
            </a:graphic>
            <wp14:sizeRelH relativeFrom="page">
              <wp14:pctWidth>0</wp14:pctWidth>
            </wp14:sizeRelH>
            <wp14:sizeRelV relativeFrom="page">
              <wp14:pctHeight>0</wp14:pctHeight>
            </wp14:sizeRelV>
          </wp:anchor>
        </w:drawing>
      </w:r>
      <w:bookmarkEnd w:id="0"/>
    </w:p>
    <w:p w:rsidR="00094605" w:rsidRPr="00A84A54" w:rsidRDefault="00A84A54">
      <w:pPr>
        <w:widowControl/>
        <w:jc w:val="left"/>
        <w:rPr>
          <w:szCs w:val="21"/>
        </w:rPr>
      </w:pPr>
      <w:r>
        <w:rPr>
          <w:noProof/>
        </w:rPr>
        <mc:AlternateContent>
          <mc:Choice Requires="wps">
            <w:drawing>
              <wp:anchor distT="45720" distB="45720" distL="114300" distR="114300" simplePos="0" relativeHeight="251667456" behindDoc="0" locked="0" layoutInCell="1" allowOverlap="1" wp14:anchorId="43D826EE" wp14:editId="565A506D">
                <wp:simplePos x="0" y="0"/>
                <wp:positionH relativeFrom="column">
                  <wp:posOffset>4418330</wp:posOffset>
                </wp:positionH>
                <wp:positionV relativeFrom="paragraph">
                  <wp:posOffset>1145969</wp:posOffset>
                </wp:positionV>
                <wp:extent cx="1874808"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808" cy="1404620"/>
                        </a:xfrm>
                        <a:prstGeom prst="rect">
                          <a:avLst/>
                        </a:prstGeom>
                        <a:noFill/>
                        <a:ln w="9525">
                          <a:noFill/>
                          <a:miter lim="800000"/>
                          <a:headEnd/>
                          <a:tailEnd/>
                        </a:ln>
                      </wps:spPr>
                      <wps:txbx>
                        <w:txbxContent>
                          <w:p w:rsidR="00A84A54" w:rsidRDefault="00A84A54" w:rsidP="00A84A54">
                            <w:r>
                              <w:rPr>
                                <w:rFonts w:hint="eastAsia"/>
                              </w:rPr>
                              <w:t>策定マニュアル</w:t>
                            </w:r>
                            <w:r>
                              <w:t>より</w:t>
                            </w:r>
                            <w:r>
                              <w:rPr>
                                <w:rFonts w:hint="eastAsia"/>
                              </w:rPr>
                              <w:t>引用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826EE" id="_x0000_s1028" type="#_x0000_t202" style="position:absolute;margin-left:347.9pt;margin-top:90.25pt;width:147.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" filled="f" stroked="f">
                <v:textbox style="mso-fit-shape-to-text:t">
                  <w:txbxContent>
                    <w:p w:rsidR="00A84A54" w:rsidRDefault="00A84A54" w:rsidP="00A84A54">
                      <w:r>
                        <w:rPr>
                          <w:rFonts w:hint="eastAsia"/>
                        </w:rPr>
                        <w:t>策定マニュアル</w:t>
                      </w:r>
                      <w:r>
                        <w:t>より</w:t>
                      </w:r>
                      <w:r>
                        <w:rPr>
                          <w:rFonts w:hint="eastAsia"/>
                        </w:rPr>
                        <w:t>引用</w:t>
                      </w:r>
                    </w:p>
                  </w:txbxContent>
                </v:textbox>
              </v:shape>
            </w:pict>
          </mc:Fallback>
        </mc:AlternateContent>
      </w:r>
      <w:r w:rsidR="00094605">
        <w:rPr>
          <w:szCs w:val="21"/>
        </w:rPr>
        <w:br w:type="page"/>
      </w:r>
    </w:p>
    <w:p w:rsidR="0009053C" w:rsidRPr="00E00611" w:rsidRDefault="00094605" w:rsidP="0009053C">
      <w:pPr>
        <w:rPr>
          <w:rFonts w:ascii="ＭＳ 明朝" w:hAnsi="ＭＳ 明朝" w:cs="メイリオ"/>
          <w:kern w:val="0"/>
          <w:sz w:val="24"/>
          <w:szCs w:val="21"/>
        </w:rPr>
      </w:pPr>
      <w:r w:rsidRPr="00E00611">
        <w:rPr>
          <w:rFonts w:ascii="ＭＳ 明朝" w:hAnsi="ＭＳ 明朝" w:cs="メイリオ" w:hint="eastAsia"/>
          <w:kern w:val="0"/>
          <w:sz w:val="24"/>
          <w:szCs w:val="21"/>
        </w:rPr>
        <w:lastRenderedPageBreak/>
        <w:t>○地球温暖化対策の推進に関する法律（平成</w:t>
      </w:r>
      <w:r w:rsidRPr="00E00611">
        <w:rPr>
          <w:rFonts w:ascii="ＭＳ 明朝" w:hAnsi="ＭＳ 明朝" w:cs="メイリオ"/>
          <w:kern w:val="0"/>
          <w:sz w:val="24"/>
          <w:szCs w:val="21"/>
        </w:rPr>
        <w:t xml:space="preserve">10 </w:t>
      </w:r>
      <w:r w:rsidRPr="00E00611">
        <w:rPr>
          <w:rFonts w:ascii="ＭＳ 明朝" w:hAnsi="ＭＳ 明朝" w:cs="メイリオ" w:hint="eastAsia"/>
          <w:kern w:val="0"/>
          <w:sz w:val="24"/>
          <w:szCs w:val="21"/>
        </w:rPr>
        <w:t>年法律第</w:t>
      </w:r>
      <w:r w:rsidRPr="00E00611">
        <w:rPr>
          <w:rFonts w:ascii="ＭＳ 明朝" w:hAnsi="ＭＳ 明朝" w:cs="メイリオ"/>
          <w:kern w:val="0"/>
          <w:sz w:val="24"/>
          <w:szCs w:val="21"/>
        </w:rPr>
        <w:t xml:space="preserve">117 </w:t>
      </w:r>
      <w:r w:rsidRPr="00E00611">
        <w:rPr>
          <w:rFonts w:ascii="ＭＳ 明朝" w:hAnsi="ＭＳ 明朝" w:cs="メイリオ" w:hint="eastAsia"/>
          <w:kern w:val="0"/>
          <w:sz w:val="24"/>
          <w:szCs w:val="21"/>
        </w:rPr>
        <w:t>号）</w:t>
      </w:r>
      <w:r w:rsidR="00155EE3" w:rsidRPr="00E00611">
        <w:rPr>
          <w:rFonts w:ascii="ＭＳ 明朝" w:hAnsi="ＭＳ 明朝" w:cs="メイリオ" w:hint="eastAsia"/>
          <w:kern w:val="0"/>
          <w:sz w:val="24"/>
          <w:szCs w:val="21"/>
        </w:rPr>
        <w:t>より一部抜粋</w:t>
      </w:r>
    </w:p>
    <w:p w:rsidR="00810CAC" w:rsidRPr="00E00611" w:rsidRDefault="00810CAC" w:rsidP="0009053C">
      <w:pPr>
        <w:rPr>
          <w:rFonts w:ascii="ＭＳ 明朝" w:hAnsi="ＭＳ 明朝" w:cs="メイリオ"/>
          <w:kern w:val="0"/>
          <w:sz w:val="24"/>
          <w:szCs w:val="21"/>
        </w:rPr>
      </w:pPr>
      <w:r w:rsidRPr="00E00611">
        <w:rPr>
          <w:rFonts w:ascii="ＭＳ 明朝" w:hAnsi="ＭＳ 明朝"/>
          <w:noProof/>
          <w:sz w:val="24"/>
          <w:szCs w:val="21"/>
        </w:rPr>
        <mc:AlternateContent>
          <mc:Choice Requires="wps">
            <w:drawing>
              <wp:anchor distT="45720" distB="45720" distL="114300" distR="114300" simplePos="0" relativeHeight="251662336" behindDoc="0" locked="0" layoutInCell="1" allowOverlap="1">
                <wp:simplePos x="0" y="0"/>
                <wp:positionH relativeFrom="column">
                  <wp:posOffset>133350</wp:posOffset>
                </wp:positionH>
                <wp:positionV relativeFrom="paragraph">
                  <wp:posOffset>104775</wp:posOffset>
                </wp:positionV>
                <wp:extent cx="5981700" cy="1752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0"/>
                        </a:xfrm>
                        <a:prstGeom prst="rect">
                          <a:avLst/>
                        </a:prstGeom>
                        <a:solidFill>
                          <a:srgbClr val="FFFFFF"/>
                        </a:solidFill>
                        <a:ln w="9525">
                          <a:solidFill>
                            <a:srgbClr val="000000"/>
                          </a:solidFill>
                          <a:prstDash val="dash"/>
                          <a:miter lim="800000"/>
                          <a:headEnd/>
                          <a:tailEnd/>
                        </a:ln>
                      </wps:spPr>
                      <wps:txbx>
                        <w:txbxContent>
                          <w:p w:rsidR="00094605" w:rsidRPr="00E00611" w:rsidRDefault="00094605">
                            <w:pPr>
                              <w:rPr>
                                <w:rStyle w:val="paragraphnum"/>
                                <w:sz w:val="24"/>
                              </w:rPr>
                            </w:pPr>
                            <w:r w:rsidRPr="00E00611">
                              <w:rPr>
                                <w:rStyle w:val="paragraphnum"/>
                                <w:rFonts w:hint="eastAsia"/>
                                <w:sz w:val="24"/>
                              </w:rPr>
                              <w:t>第</w:t>
                            </w:r>
                            <w:r w:rsidR="00810CAC" w:rsidRPr="00E00611">
                              <w:rPr>
                                <w:rStyle w:val="paragraphnum"/>
                                <w:rFonts w:hint="eastAsia"/>
                                <w:sz w:val="24"/>
                              </w:rPr>
                              <w:t>三</w:t>
                            </w:r>
                            <w:r w:rsidRPr="00E00611">
                              <w:rPr>
                                <w:rStyle w:val="paragraphnum"/>
                                <w:rFonts w:hint="eastAsia"/>
                                <w:sz w:val="24"/>
                              </w:rPr>
                              <w:t>条</w:t>
                            </w:r>
                          </w:p>
                          <w:p w:rsidR="00094605" w:rsidRPr="00E00611" w:rsidRDefault="00094605">
                            <w:pPr>
                              <w:rPr>
                                <w:sz w:val="24"/>
                              </w:rPr>
                            </w:pPr>
                            <w:r w:rsidRPr="00E00611">
                              <w:rPr>
                                <w:rStyle w:val="paragraphnum"/>
                                <w:rFonts w:hint="eastAsia"/>
                                <w:sz w:val="24"/>
                              </w:rPr>
                              <w:t xml:space="preserve">３　</w:t>
                            </w:r>
                            <w:r w:rsidRPr="00E00611">
                              <w:rPr>
                                <w:rFonts w:hint="eastAsia"/>
                                <w:sz w:val="24"/>
                              </w:rPr>
                              <w:t>国は、自らの事務及び事業に関し、温室効果ガスの排出の量の削減並びに吸収作用の保全及び強化のための措置を講ずるとともに、温室効果ガスの排出の抑制等のための地方公共団体の施策を支援し、及び事業者、国民又はこれらの者の組織する民間の団体（以下「民間団体等」という。）が温室効果ガスの排出の抑制等に関して行う活動の促進を図るため、当該抑制等のための施策及び活動に関する普及啓発を行うとともに、技術的な助言その他の措置を講ずるように努め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8.25pt;width:471pt;height:1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">
                <v:stroke dashstyle="dash"/>
                <v:textbox>
                  <w:txbxContent>
                    <w:p w:rsidR="00094605" w:rsidRPr="00E00611" w:rsidRDefault="00094605">
                      <w:pPr>
                        <w:rPr>
                          <w:rStyle w:val="paragraphnum"/>
                          <w:sz w:val="24"/>
                        </w:rPr>
                      </w:pPr>
                      <w:r w:rsidRPr="00E00611">
                        <w:rPr>
                          <w:rStyle w:val="paragraphnum"/>
                          <w:rFonts w:hint="eastAsia"/>
                          <w:sz w:val="24"/>
                        </w:rPr>
                        <w:t>第</w:t>
                      </w:r>
                      <w:r w:rsidR="00810CAC" w:rsidRPr="00E00611">
                        <w:rPr>
                          <w:rStyle w:val="paragraphnum"/>
                          <w:rFonts w:hint="eastAsia"/>
                          <w:sz w:val="24"/>
                        </w:rPr>
                        <w:t>三</w:t>
                      </w:r>
                      <w:r w:rsidRPr="00E00611">
                        <w:rPr>
                          <w:rStyle w:val="paragraphnum"/>
                          <w:rFonts w:hint="eastAsia"/>
                          <w:sz w:val="24"/>
                        </w:rPr>
                        <w:t>条</w:t>
                      </w:r>
                    </w:p>
                    <w:p w:rsidR="00094605" w:rsidRPr="00E00611" w:rsidRDefault="00094605">
                      <w:pPr>
                        <w:rPr>
                          <w:sz w:val="24"/>
                        </w:rPr>
                      </w:pPr>
                      <w:r w:rsidRPr="00E00611">
                        <w:rPr>
                          <w:rStyle w:val="paragraphnum"/>
                          <w:rFonts w:hint="eastAsia"/>
                          <w:sz w:val="24"/>
                        </w:rPr>
                        <w:t xml:space="preserve">３　</w:t>
                      </w:r>
                      <w:r w:rsidRPr="00E00611">
                        <w:rPr>
                          <w:rFonts w:hint="eastAsia"/>
                          <w:sz w:val="24"/>
                        </w:rPr>
                        <w:t>国は、自らの事務及び事業に関し、温室効果ガスの排出の量の削減並びに吸収作用の保全及び強化のための措置を講ずるとともに、温室効果ガスの排出の抑制等のための地方公共団体の施策を支援し、及び事業者、国民又はこれらの者の組織する民間の団体（以下「民間団体等」という。）が温室効果ガスの排出の抑制等に関して行う活動の促進を図るため、当該抑制等のための施策及び活動に関する普及啓発を行うとともに、技術的な助言その他の措置を講ずるように努めるものとする。</w:t>
                      </w:r>
                    </w:p>
                  </w:txbxContent>
                </v:textbox>
              </v:shape>
            </w:pict>
          </mc:Fallback>
        </mc:AlternateContent>
      </w: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09053C">
      <w:pPr>
        <w:rPr>
          <w:rFonts w:ascii="ＭＳ 明朝" w:hAnsi="ＭＳ 明朝" w:cs="メイリオ"/>
          <w:kern w:val="0"/>
          <w:sz w:val="24"/>
          <w:szCs w:val="21"/>
        </w:rPr>
      </w:pPr>
    </w:p>
    <w:p w:rsidR="00810CAC" w:rsidRPr="00E00611" w:rsidRDefault="00810CAC" w:rsidP="00810CAC">
      <w:pPr>
        <w:rPr>
          <w:rFonts w:ascii="ＭＳ 明朝" w:hAnsi="ＭＳ 明朝"/>
          <w:sz w:val="24"/>
          <w:szCs w:val="21"/>
        </w:rPr>
      </w:pPr>
      <w:r w:rsidRPr="00E00611">
        <w:rPr>
          <w:rFonts w:ascii="ＭＳ 明朝" w:hAnsi="ＭＳ 明朝" w:cs="メイリオ" w:hint="eastAsia"/>
          <w:kern w:val="0"/>
          <w:sz w:val="24"/>
          <w:szCs w:val="21"/>
        </w:rPr>
        <w:t>○</w:t>
      </w:r>
      <w:r w:rsidR="00155EE3" w:rsidRPr="00E00611">
        <w:rPr>
          <w:rFonts w:ascii="ＭＳ 明朝" w:hAnsi="ＭＳ 明朝" w:cs="メイリオ" w:hint="eastAsia"/>
          <w:kern w:val="0"/>
          <w:sz w:val="24"/>
          <w:szCs w:val="21"/>
        </w:rPr>
        <w:t>地方自治法（昭和22 年法律第67 号）より一部抜粋</w:t>
      </w:r>
    </w:p>
    <w:p w:rsidR="00810CAC" w:rsidRPr="00E00611" w:rsidRDefault="00810CAC" w:rsidP="0009053C">
      <w:pPr>
        <w:rPr>
          <w:rFonts w:ascii="ＭＳ 明朝" w:hAnsi="ＭＳ 明朝"/>
          <w:sz w:val="24"/>
          <w:szCs w:val="21"/>
        </w:rPr>
      </w:pPr>
      <w:r w:rsidRPr="00E00611">
        <w:rPr>
          <w:rFonts w:ascii="ＭＳ 明朝" w:hAnsi="ＭＳ 明朝"/>
          <w:noProof/>
          <w:sz w:val="24"/>
          <w:szCs w:val="21"/>
        </w:rPr>
        <mc:AlternateContent>
          <mc:Choice Requires="wps">
            <w:drawing>
              <wp:anchor distT="45720" distB="45720" distL="114300" distR="114300" simplePos="0" relativeHeight="251664384" behindDoc="0" locked="0" layoutInCell="1" allowOverlap="1" wp14:anchorId="50A63E76" wp14:editId="14B710BB">
                <wp:simplePos x="0" y="0"/>
                <wp:positionH relativeFrom="column">
                  <wp:posOffset>133350</wp:posOffset>
                </wp:positionH>
                <wp:positionV relativeFrom="paragraph">
                  <wp:posOffset>123826</wp:posOffset>
                </wp:positionV>
                <wp:extent cx="5981700" cy="3352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52800"/>
                        </a:xfrm>
                        <a:prstGeom prst="rect">
                          <a:avLst/>
                        </a:prstGeom>
                        <a:solidFill>
                          <a:srgbClr val="FFFFFF"/>
                        </a:solidFill>
                        <a:ln w="9525">
                          <a:solidFill>
                            <a:srgbClr val="000000"/>
                          </a:solidFill>
                          <a:prstDash val="dash"/>
                          <a:miter lim="800000"/>
                          <a:headEnd/>
                          <a:tailEnd/>
                        </a:ln>
                      </wps:spPr>
                      <wps:txbx>
                        <w:txbxContent>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（技術的な助言及び勧告並びに資料の提出の要求）</w:t>
                            </w:r>
                          </w:p>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第二百四十五条の四　各大臣（内閣府設置法第四条第三項に規定する事務を分担管理する大臣たる内閣総理大臣又は国家行政組織法第五条第一項に規定する各省大臣をいう。以下本章、次章及び第十四章において同じ。）又は都道府県知事その他の都道府県の執行機関は、その担任する事務に関し、普通地方公共団体に対し、普通地方公共団体の事務の運営その他の事項について適切と認める技術的な助言若しくは勧告をし、又は当該助言若しくは勧告をするため若しくは普通地方公共団体の事務の適正な処理に関する情報を提供するため必要な資料の提出を求めることができる。</w:t>
                            </w:r>
                          </w:p>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２　各大臣は、その担任する事務に関し、都道府県知事その他の都道府県の執行機関に対し、前項の規定による市町村に対する助言若しくは勧告又は資料の提出の求めに関し、必要な指示をすることができる。</w:t>
                            </w:r>
                          </w:p>
                          <w:p w:rsidR="00810CAC" w:rsidRPr="00810CAC" w:rsidRDefault="009C264B" w:rsidP="009C264B">
                            <w:r w:rsidRPr="009C264B">
                              <w:rPr>
                                <w:rFonts w:ascii="ＭＳ 明朝" w:hAnsi="ＭＳ 明朝" w:cs="ＭＳ Ｐゴシック" w:hint="eastAsia"/>
                                <w:kern w:val="0"/>
                                <w:sz w:val="24"/>
                                <w:szCs w:val="21"/>
                              </w:rPr>
                              <w:t>３　普通地方公共団体の長その他の執行機関は、各大臣又は都道府県知事その他の都道府県の執行機関に対し、その担任する事務の管理及び執行について技術的な助言若しくは勧告又は必要な情報の提供を求め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3E76" id="テキスト ボックス 3" o:spid="_x0000_s1030" type="#_x0000_t202" style="position:absolute;left:0;text-align:left;margin-left:10.5pt;margin-top:9.75pt;width:471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">
                <v:stroke dashstyle="dash"/>
                <v:textbox>
                  <w:txbxContent>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（技術的な助言及び勧告並びに資料の提出の要求）</w:t>
                      </w:r>
                    </w:p>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第二百四十五条の四　各大臣（内閣府設置法第四条第三項に規定する事務を分担管理する大臣たる内閣総理大臣又は国家行政組織法第五条第一項に規定する各省大臣をいう。以下本章、次章及び第十四章において同じ。）又は都道府県知事その他の都道府県の執行機関は、その担任する事務に関し、普通地方公共団体に対し、普通地方公共団体の事務の運営その他の事項について適切と認める技術的な助言若しくは勧告をし、又は当該助言若しくは勧告をするため若しくは普通地方公共団体の事務の適正な処理に関する情報を提供するため必要な資料の提出を求めることができる。</w:t>
                      </w:r>
                    </w:p>
                    <w:p w:rsidR="009C264B" w:rsidRPr="009C264B" w:rsidRDefault="009C264B" w:rsidP="009C264B">
                      <w:pPr>
                        <w:rPr>
                          <w:rFonts w:ascii="ＭＳ 明朝" w:hAnsi="ＭＳ 明朝" w:cs="ＭＳ Ｐゴシック"/>
                          <w:kern w:val="0"/>
                          <w:sz w:val="24"/>
                          <w:szCs w:val="21"/>
                        </w:rPr>
                      </w:pPr>
                      <w:r w:rsidRPr="009C264B">
                        <w:rPr>
                          <w:rFonts w:ascii="ＭＳ 明朝" w:hAnsi="ＭＳ 明朝" w:cs="ＭＳ Ｐゴシック" w:hint="eastAsia"/>
                          <w:kern w:val="0"/>
                          <w:sz w:val="24"/>
                          <w:szCs w:val="21"/>
                        </w:rPr>
                        <w:t>２　各大臣は、その担任する事務に関し、都道府県知事その他の都道府県の執行機関に対し、前項の規定による市町村に対する助言若しくは勧告又は資料の提出の求めに関し、必要な指示をすることができる。</w:t>
                      </w:r>
                    </w:p>
                    <w:p w:rsidR="00810CAC" w:rsidRPr="00810CAC" w:rsidRDefault="009C264B" w:rsidP="009C264B">
                      <w:r w:rsidRPr="009C264B">
                        <w:rPr>
                          <w:rFonts w:ascii="ＭＳ 明朝" w:hAnsi="ＭＳ 明朝" w:cs="ＭＳ Ｐゴシック" w:hint="eastAsia"/>
                          <w:kern w:val="0"/>
                          <w:sz w:val="24"/>
                          <w:szCs w:val="21"/>
                        </w:rPr>
                        <w:t>３　普通地方公共団体の長その他の執行機関は、各大臣又は都道府県知事その他の都道府県の執行機関に対し、その担任する事務の管理及び執行について技術的な助言若しくは勧告又は必要な情報の提供を求めることができる。</w:t>
                      </w:r>
                    </w:p>
                  </w:txbxContent>
                </v:textbox>
              </v:shape>
            </w:pict>
          </mc:Fallback>
        </mc:AlternateContent>
      </w:r>
    </w:p>
    <w:sectPr w:rsidR="00810CAC" w:rsidRPr="00E00611" w:rsidSect="00DF0E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75" w:rsidRDefault="00DF0E75" w:rsidP="00DF0E75">
      <w:r>
        <w:separator/>
      </w:r>
    </w:p>
  </w:endnote>
  <w:endnote w:type="continuationSeparator" w:id="0">
    <w:p w:rsidR="00DF0E75" w:rsidRDefault="00DF0E75" w:rsidP="00D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75" w:rsidRDefault="00DF0E75" w:rsidP="00DF0E75">
      <w:r>
        <w:separator/>
      </w:r>
    </w:p>
  </w:footnote>
  <w:footnote w:type="continuationSeparator" w:id="0">
    <w:p w:rsidR="00DF0E75" w:rsidRDefault="00DF0E75" w:rsidP="00DF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75"/>
    <w:rsid w:val="0009053C"/>
    <w:rsid w:val="00094605"/>
    <w:rsid w:val="00155EE3"/>
    <w:rsid w:val="001C313C"/>
    <w:rsid w:val="002863FD"/>
    <w:rsid w:val="002E5C0B"/>
    <w:rsid w:val="00451121"/>
    <w:rsid w:val="0049415E"/>
    <w:rsid w:val="004E4D0B"/>
    <w:rsid w:val="00502F50"/>
    <w:rsid w:val="005062F6"/>
    <w:rsid w:val="00506E1D"/>
    <w:rsid w:val="00517851"/>
    <w:rsid w:val="005D5A43"/>
    <w:rsid w:val="005F5EFA"/>
    <w:rsid w:val="0062533D"/>
    <w:rsid w:val="006D61B7"/>
    <w:rsid w:val="00747F28"/>
    <w:rsid w:val="00751A9C"/>
    <w:rsid w:val="007E7641"/>
    <w:rsid w:val="00803B5D"/>
    <w:rsid w:val="00810CAC"/>
    <w:rsid w:val="00883A09"/>
    <w:rsid w:val="008E4532"/>
    <w:rsid w:val="00906807"/>
    <w:rsid w:val="009C264B"/>
    <w:rsid w:val="009C36DD"/>
    <w:rsid w:val="00A32389"/>
    <w:rsid w:val="00A450C6"/>
    <w:rsid w:val="00A84A54"/>
    <w:rsid w:val="00A97166"/>
    <w:rsid w:val="00B16CCA"/>
    <w:rsid w:val="00B43AF9"/>
    <w:rsid w:val="00C510A4"/>
    <w:rsid w:val="00CD49FD"/>
    <w:rsid w:val="00D31862"/>
    <w:rsid w:val="00D33E2F"/>
    <w:rsid w:val="00D35FE5"/>
    <w:rsid w:val="00D653F1"/>
    <w:rsid w:val="00D96389"/>
    <w:rsid w:val="00DB5851"/>
    <w:rsid w:val="00DF0E75"/>
    <w:rsid w:val="00E00611"/>
    <w:rsid w:val="00E12AE9"/>
    <w:rsid w:val="00EE6D05"/>
    <w:rsid w:val="00F839E5"/>
    <w:rsid w:val="00FA0B25"/>
    <w:rsid w:val="00FC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C273C4-48F0-4947-98B9-F6B80F2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E75"/>
    <w:pPr>
      <w:tabs>
        <w:tab w:val="center" w:pos="4252"/>
        <w:tab w:val="right" w:pos="8504"/>
      </w:tabs>
      <w:snapToGrid w:val="0"/>
    </w:pPr>
  </w:style>
  <w:style w:type="character" w:customStyle="1" w:styleId="a4">
    <w:name w:val="ヘッダー (文字)"/>
    <w:basedOn w:val="a0"/>
    <w:link w:val="a3"/>
    <w:uiPriority w:val="99"/>
    <w:rsid w:val="00DF0E75"/>
  </w:style>
  <w:style w:type="paragraph" w:styleId="a5">
    <w:name w:val="footer"/>
    <w:basedOn w:val="a"/>
    <w:link w:val="a6"/>
    <w:uiPriority w:val="99"/>
    <w:unhideWhenUsed/>
    <w:rsid w:val="00DF0E75"/>
    <w:pPr>
      <w:tabs>
        <w:tab w:val="center" w:pos="4252"/>
        <w:tab w:val="right" w:pos="8504"/>
      </w:tabs>
      <w:snapToGrid w:val="0"/>
    </w:pPr>
  </w:style>
  <w:style w:type="character" w:customStyle="1" w:styleId="a6">
    <w:name w:val="フッター (文字)"/>
    <w:basedOn w:val="a0"/>
    <w:link w:val="a5"/>
    <w:uiPriority w:val="99"/>
    <w:rsid w:val="00DF0E75"/>
  </w:style>
  <w:style w:type="paragraph" w:styleId="a7">
    <w:name w:val="Balloon Text"/>
    <w:basedOn w:val="a"/>
    <w:link w:val="a8"/>
    <w:uiPriority w:val="99"/>
    <w:semiHidden/>
    <w:unhideWhenUsed/>
    <w:rsid w:val="00E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D05"/>
    <w:rPr>
      <w:rFonts w:asciiTheme="majorHAnsi" w:eastAsiaTheme="majorEastAsia" w:hAnsiTheme="majorHAnsi" w:cstheme="majorBidi"/>
      <w:sz w:val="18"/>
      <w:szCs w:val="18"/>
    </w:rPr>
  </w:style>
  <w:style w:type="character" w:customStyle="1" w:styleId="paragraphnum">
    <w:name w:val="paragraphnum"/>
    <w:basedOn w:val="a0"/>
    <w:rsid w:val="00094605"/>
  </w:style>
  <w:style w:type="character" w:customStyle="1" w:styleId="articletitle">
    <w:name w:val="articletitle"/>
    <w:basedOn w:val="a0"/>
    <w:rsid w:val="00810CAC"/>
  </w:style>
  <w:style w:type="paragraph" w:styleId="Web">
    <w:name w:val="Normal (Web)"/>
    <w:basedOn w:val="a"/>
    <w:uiPriority w:val="99"/>
    <w:semiHidden/>
    <w:unhideWhenUsed/>
    <w:rsid w:val="00883A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8055">
      <w:bodyDiv w:val="1"/>
      <w:marLeft w:val="0"/>
      <w:marRight w:val="0"/>
      <w:marTop w:val="0"/>
      <w:marBottom w:val="0"/>
      <w:divBdr>
        <w:top w:val="none" w:sz="0" w:space="0" w:color="auto"/>
        <w:left w:val="none" w:sz="0" w:space="0" w:color="auto"/>
        <w:bottom w:val="none" w:sz="0" w:space="0" w:color="auto"/>
        <w:right w:val="none" w:sz="0" w:space="0" w:color="auto"/>
      </w:divBdr>
      <w:divsChild>
        <w:div w:id="568460000">
          <w:marLeft w:val="0"/>
          <w:marRight w:val="0"/>
          <w:marTop w:val="0"/>
          <w:marBottom w:val="0"/>
          <w:divBdr>
            <w:top w:val="none" w:sz="0" w:space="0" w:color="auto"/>
            <w:left w:val="none" w:sz="0" w:space="0" w:color="auto"/>
            <w:bottom w:val="none" w:sz="0" w:space="0" w:color="auto"/>
            <w:right w:val="none" w:sz="0" w:space="0" w:color="auto"/>
          </w:divBdr>
          <w:divsChild>
            <w:div w:id="1238901977">
              <w:marLeft w:val="0"/>
              <w:marRight w:val="0"/>
              <w:marTop w:val="0"/>
              <w:marBottom w:val="0"/>
              <w:divBdr>
                <w:top w:val="none" w:sz="0" w:space="0" w:color="auto"/>
                <w:left w:val="none" w:sz="0" w:space="0" w:color="auto"/>
                <w:bottom w:val="none" w:sz="0" w:space="0" w:color="auto"/>
                <w:right w:val="none" w:sz="0" w:space="0" w:color="auto"/>
              </w:divBdr>
              <w:divsChild>
                <w:div w:id="515729994">
                  <w:marLeft w:val="0"/>
                  <w:marRight w:val="0"/>
                  <w:marTop w:val="0"/>
                  <w:marBottom w:val="0"/>
                  <w:divBdr>
                    <w:top w:val="none" w:sz="0" w:space="0" w:color="auto"/>
                    <w:left w:val="none" w:sz="0" w:space="0" w:color="auto"/>
                    <w:bottom w:val="none" w:sz="0" w:space="0" w:color="auto"/>
                    <w:right w:val="none" w:sz="0" w:space="0" w:color="auto"/>
                  </w:divBdr>
                  <w:divsChild>
                    <w:div w:id="63183020">
                      <w:marLeft w:val="0"/>
                      <w:marRight w:val="0"/>
                      <w:marTop w:val="0"/>
                      <w:marBottom w:val="0"/>
                      <w:divBdr>
                        <w:top w:val="single" w:sz="6" w:space="0" w:color="auto"/>
                        <w:left w:val="none" w:sz="0" w:space="0" w:color="auto"/>
                        <w:bottom w:val="none" w:sz="0" w:space="0" w:color="auto"/>
                        <w:right w:val="none" w:sz="0" w:space="0" w:color="auto"/>
                      </w:divBdr>
                      <w:divsChild>
                        <w:div w:id="1749234118">
                          <w:marLeft w:val="0"/>
                          <w:marRight w:val="0"/>
                          <w:marTop w:val="0"/>
                          <w:marBottom w:val="0"/>
                          <w:divBdr>
                            <w:top w:val="none" w:sz="0" w:space="0" w:color="auto"/>
                            <w:left w:val="none" w:sz="0" w:space="0" w:color="auto"/>
                            <w:bottom w:val="none" w:sz="0" w:space="0" w:color="auto"/>
                            <w:right w:val="none" w:sz="0" w:space="0" w:color="auto"/>
                          </w:divBdr>
                          <w:divsChild>
                            <w:div w:id="2094157392">
                              <w:marLeft w:val="0"/>
                              <w:marRight w:val="0"/>
                              <w:marTop w:val="0"/>
                              <w:marBottom w:val="0"/>
                              <w:divBdr>
                                <w:top w:val="none" w:sz="0" w:space="0" w:color="auto"/>
                                <w:left w:val="none" w:sz="0" w:space="0" w:color="auto"/>
                                <w:bottom w:val="none" w:sz="0" w:space="0" w:color="auto"/>
                                <w:right w:val="none" w:sz="0" w:space="0" w:color="auto"/>
                              </w:divBdr>
                              <w:divsChild>
                                <w:div w:id="274024399">
                                  <w:marLeft w:val="0"/>
                                  <w:marRight w:val="0"/>
                                  <w:marTop w:val="0"/>
                                  <w:marBottom w:val="0"/>
                                  <w:divBdr>
                                    <w:top w:val="none" w:sz="0" w:space="0" w:color="auto"/>
                                    <w:left w:val="none" w:sz="0" w:space="0" w:color="auto"/>
                                    <w:bottom w:val="none" w:sz="0" w:space="0" w:color="auto"/>
                                    <w:right w:val="none" w:sz="0" w:space="0" w:color="auto"/>
                                  </w:divBdr>
                                  <w:divsChild>
                                    <w:div w:id="638609112">
                                      <w:marLeft w:val="0"/>
                                      <w:marRight w:val="0"/>
                                      <w:marTop w:val="0"/>
                                      <w:marBottom w:val="0"/>
                                      <w:divBdr>
                                        <w:top w:val="none" w:sz="0" w:space="0" w:color="auto"/>
                                        <w:left w:val="none" w:sz="0" w:space="0" w:color="auto"/>
                                        <w:bottom w:val="none" w:sz="0" w:space="0" w:color="auto"/>
                                        <w:right w:val="none" w:sz="0" w:space="0" w:color="auto"/>
                                      </w:divBdr>
                                      <w:divsChild>
                                        <w:div w:id="92286063">
                                          <w:marLeft w:val="0"/>
                                          <w:marRight w:val="0"/>
                                          <w:marTop w:val="0"/>
                                          <w:marBottom w:val="0"/>
                                          <w:divBdr>
                                            <w:top w:val="none" w:sz="0" w:space="0" w:color="auto"/>
                                            <w:left w:val="none" w:sz="0" w:space="0" w:color="auto"/>
                                            <w:bottom w:val="none" w:sz="0" w:space="0" w:color="auto"/>
                                            <w:right w:val="none" w:sz="0" w:space="0" w:color="auto"/>
                                          </w:divBdr>
                                          <w:divsChild>
                                            <w:div w:id="251858858">
                                              <w:marLeft w:val="0"/>
                                              <w:marRight w:val="0"/>
                                              <w:marTop w:val="0"/>
                                              <w:marBottom w:val="0"/>
                                              <w:divBdr>
                                                <w:top w:val="none" w:sz="0" w:space="0" w:color="auto"/>
                                                <w:left w:val="none" w:sz="0" w:space="0" w:color="auto"/>
                                                <w:bottom w:val="none" w:sz="0" w:space="0" w:color="auto"/>
                                                <w:right w:val="none" w:sz="0" w:space="0" w:color="auto"/>
                                              </w:divBdr>
                                              <w:divsChild>
                                                <w:div w:id="1239703979">
                                                  <w:marLeft w:val="0"/>
                                                  <w:marRight w:val="0"/>
                                                  <w:marTop w:val="0"/>
                                                  <w:marBottom w:val="0"/>
                                                  <w:divBdr>
                                                    <w:top w:val="none" w:sz="0" w:space="0" w:color="auto"/>
                                                    <w:left w:val="none" w:sz="0" w:space="0" w:color="auto"/>
                                                    <w:bottom w:val="none" w:sz="0" w:space="0" w:color="auto"/>
                                                    <w:right w:val="none" w:sz="0" w:space="0" w:color="auto"/>
                                                  </w:divBdr>
                                                  <w:divsChild>
                                                    <w:div w:id="275794144">
                                                      <w:marLeft w:val="0"/>
                                                      <w:marRight w:val="0"/>
                                                      <w:marTop w:val="0"/>
                                                      <w:marBottom w:val="0"/>
                                                      <w:divBdr>
                                                        <w:top w:val="none" w:sz="0" w:space="0" w:color="auto"/>
                                                        <w:left w:val="none" w:sz="0" w:space="0" w:color="auto"/>
                                                        <w:bottom w:val="none" w:sz="0" w:space="0" w:color="auto"/>
                                                        <w:right w:val="none" w:sz="0" w:space="0" w:color="auto"/>
                                                      </w:divBdr>
                                                      <w:divsChild>
                                                        <w:div w:id="897060041">
                                                          <w:marLeft w:val="0"/>
                                                          <w:marRight w:val="0"/>
                                                          <w:marTop w:val="0"/>
                                                          <w:marBottom w:val="0"/>
                                                          <w:divBdr>
                                                            <w:top w:val="none" w:sz="0" w:space="0" w:color="auto"/>
                                                            <w:left w:val="none" w:sz="0" w:space="0" w:color="auto"/>
                                                            <w:bottom w:val="none" w:sz="0" w:space="0" w:color="auto"/>
                                                            <w:right w:val="none" w:sz="0" w:space="0" w:color="auto"/>
                                                          </w:divBdr>
                                                        </w:div>
                                                      </w:divsChild>
                                                    </w:div>
                                                    <w:div w:id="988897168">
                                                      <w:marLeft w:val="0"/>
                                                      <w:marRight w:val="0"/>
                                                      <w:marTop w:val="0"/>
                                                      <w:marBottom w:val="0"/>
                                                      <w:divBdr>
                                                        <w:top w:val="none" w:sz="0" w:space="0" w:color="auto"/>
                                                        <w:left w:val="none" w:sz="0" w:space="0" w:color="auto"/>
                                                        <w:bottom w:val="none" w:sz="0" w:space="0" w:color="auto"/>
                                                        <w:right w:val="none" w:sz="0" w:space="0" w:color="auto"/>
                                                      </w:divBdr>
                                                      <w:divsChild>
                                                        <w:div w:id="1285817165">
                                                          <w:marLeft w:val="0"/>
                                                          <w:marRight w:val="0"/>
                                                          <w:marTop w:val="0"/>
                                                          <w:marBottom w:val="0"/>
                                                          <w:divBdr>
                                                            <w:top w:val="none" w:sz="0" w:space="0" w:color="auto"/>
                                                            <w:left w:val="none" w:sz="0" w:space="0" w:color="auto"/>
                                                            <w:bottom w:val="none" w:sz="0" w:space="0" w:color="auto"/>
                                                            <w:right w:val="none" w:sz="0" w:space="0" w:color="auto"/>
                                                          </w:divBdr>
                                                        </w:div>
                                                      </w:divsChild>
                                                    </w:div>
                                                    <w:div w:id="679550176">
                                                      <w:marLeft w:val="0"/>
                                                      <w:marRight w:val="0"/>
                                                      <w:marTop w:val="0"/>
                                                      <w:marBottom w:val="0"/>
                                                      <w:divBdr>
                                                        <w:top w:val="none" w:sz="0" w:space="0" w:color="auto"/>
                                                        <w:left w:val="none" w:sz="0" w:space="0" w:color="auto"/>
                                                        <w:bottom w:val="none" w:sz="0" w:space="0" w:color="auto"/>
                                                        <w:right w:val="none" w:sz="0" w:space="0" w:color="auto"/>
                                                      </w:divBdr>
                                                      <w:divsChild>
                                                        <w:div w:id="1179857487">
                                                          <w:marLeft w:val="0"/>
                                                          <w:marRight w:val="0"/>
                                                          <w:marTop w:val="0"/>
                                                          <w:marBottom w:val="0"/>
                                                          <w:divBdr>
                                                            <w:top w:val="none" w:sz="0" w:space="0" w:color="auto"/>
                                                            <w:left w:val="none" w:sz="0" w:space="0" w:color="auto"/>
                                                            <w:bottom w:val="none" w:sz="0" w:space="0" w:color="auto"/>
                                                            <w:right w:val="none" w:sz="0" w:space="0" w:color="auto"/>
                                                          </w:divBdr>
                                                        </w:div>
                                                      </w:divsChild>
                                                    </w:div>
                                                    <w:div w:id="1142388196">
                                                      <w:marLeft w:val="0"/>
                                                      <w:marRight w:val="0"/>
                                                      <w:marTop w:val="0"/>
                                                      <w:marBottom w:val="0"/>
                                                      <w:divBdr>
                                                        <w:top w:val="none" w:sz="0" w:space="0" w:color="auto"/>
                                                        <w:left w:val="none" w:sz="0" w:space="0" w:color="auto"/>
                                                        <w:bottom w:val="none" w:sz="0" w:space="0" w:color="auto"/>
                                                        <w:right w:val="none" w:sz="0" w:space="0" w:color="auto"/>
                                                      </w:divBdr>
                                                      <w:divsChild>
                                                        <w:div w:id="11297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　祐子</cp:lastModifiedBy>
  <cp:revision>48</cp:revision>
  <cp:lastPrinted>2019-11-07T09:17:00Z</cp:lastPrinted>
  <dcterms:created xsi:type="dcterms:W3CDTF">2019-11-06T01:18:00Z</dcterms:created>
  <dcterms:modified xsi:type="dcterms:W3CDTF">2019-11-25T01:30:00Z</dcterms:modified>
</cp:coreProperties>
</file>